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AAA206" w14:textId="5696FE5D" w:rsidR="007F60C0" w:rsidRPr="00D84452" w:rsidRDefault="00D84452" w:rsidP="00D84452">
      <w:pPr>
        <w:rPr>
          <w:rFonts w:ascii="Calibri" w:hAnsi="Calibri" w:cs="Calibri"/>
          <w:b/>
          <w:bCs/>
          <w:sz w:val="28"/>
          <w:szCs w:val="28"/>
        </w:rPr>
      </w:pPr>
      <w:r w:rsidRPr="00D84452">
        <w:rPr>
          <w:rFonts w:ascii="Calibri" w:hAnsi="Calibri" w:cs="Calibri"/>
          <w:b/>
          <w:bCs/>
          <w:sz w:val="28"/>
          <w:szCs w:val="28"/>
        </w:rPr>
        <w:t>Facilitator Note:</w:t>
      </w:r>
    </w:p>
    <w:p w14:paraId="484A85A6" w14:textId="71E5250C" w:rsidR="00D84452" w:rsidRPr="00D84452" w:rsidRDefault="00D84452" w:rsidP="00D84452">
      <w:pPr>
        <w:rPr>
          <w:rFonts w:ascii="Calibri" w:hAnsi="Calibri" w:cs="Calibri"/>
          <w:bCs/>
          <w:sz w:val="28"/>
          <w:szCs w:val="28"/>
        </w:rPr>
      </w:pPr>
      <w:r w:rsidRPr="00D84452">
        <w:rPr>
          <w:rFonts w:ascii="Calibri" w:hAnsi="Calibri" w:cs="Calibri"/>
          <w:bCs/>
          <w:sz w:val="28"/>
          <w:szCs w:val="28"/>
        </w:rPr>
        <w:t xml:space="preserve">This scripted mock trial is designed for </w:t>
      </w:r>
      <w:r>
        <w:rPr>
          <w:rFonts w:ascii="Calibri" w:hAnsi="Calibri" w:cs="Calibri"/>
          <w:bCs/>
          <w:sz w:val="28"/>
          <w:szCs w:val="28"/>
        </w:rPr>
        <w:t>middle and high school</w:t>
      </w:r>
      <w:r w:rsidRPr="00D84452">
        <w:rPr>
          <w:rFonts w:ascii="Calibri" w:hAnsi="Calibri" w:cs="Calibri"/>
          <w:bCs/>
          <w:sz w:val="28"/>
          <w:szCs w:val="28"/>
        </w:rPr>
        <w:t xml:space="preserve"> students and aims to engage them in understanding legal processes in a fun, interactive way. It is recommended to designate roles ahead of time to give all students the opportunity to prepare and feel comfortable with their parts. This includes assigning roles such as jurors, witnesses, lawyers, and the judge. One suggestion is to have students highlight their parts prior to conducting the mock trial.</w:t>
      </w:r>
    </w:p>
    <w:p w14:paraId="6DF61B2D" w14:textId="77777777" w:rsidR="00D84452" w:rsidRPr="00D84452" w:rsidRDefault="00D84452" w:rsidP="00D84452">
      <w:pPr>
        <w:rPr>
          <w:rFonts w:ascii="Calibri" w:hAnsi="Calibri" w:cs="Calibri"/>
          <w:bCs/>
          <w:sz w:val="28"/>
          <w:szCs w:val="28"/>
        </w:rPr>
      </w:pPr>
      <w:r w:rsidRPr="00D84452">
        <w:rPr>
          <w:rFonts w:ascii="Calibri" w:hAnsi="Calibri" w:cs="Calibri"/>
          <w:bCs/>
          <w:sz w:val="28"/>
          <w:szCs w:val="28"/>
        </w:rPr>
        <w:t>When assigning roles, it is especially important to consider students who may have difficulty reading their designated script. Giving them roles that align with their abilities can help build confidence and encourage participation. For example, providing scripts or shorter lines in advance to practice with a resource teacher enhances their experience. This approach not only fosters inclusion but also supports their language and reading development through active participation. Officers should meet with the classroom teacher prior to class to obtain teacher input on which student should be assigned each role.</w:t>
      </w:r>
    </w:p>
    <w:p w14:paraId="48818F56" w14:textId="77777777" w:rsidR="00805609" w:rsidRPr="00805609" w:rsidRDefault="00805609" w:rsidP="007F60C0">
      <w:pPr>
        <w:rPr>
          <w:rFonts w:ascii="Calibri" w:hAnsi="Calibri" w:cs="Calibri"/>
          <w:b/>
          <w:bCs/>
          <w:sz w:val="28"/>
          <w:szCs w:val="28"/>
        </w:rPr>
      </w:pPr>
      <w:bookmarkStart w:id="0" w:name="_Hlk189135227"/>
      <w:r w:rsidRPr="00805609">
        <w:rPr>
          <w:rFonts w:ascii="Calibri" w:hAnsi="Calibri" w:cs="Calibri"/>
          <w:b/>
          <w:bCs/>
          <w:sz w:val="28"/>
          <w:szCs w:val="28"/>
        </w:rPr>
        <w:t>Information &amp; Roles:</w:t>
      </w:r>
    </w:p>
    <w:p w14:paraId="2B230F6C" w14:textId="1074495A" w:rsidR="00805609" w:rsidRDefault="00805609" w:rsidP="007F60C0">
      <w:pPr>
        <w:rPr>
          <w:rFonts w:ascii="Calibri" w:hAnsi="Calibri" w:cs="Calibri"/>
          <w:sz w:val="28"/>
          <w:szCs w:val="28"/>
        </w:rPr>
      </w:pPr>
      <w:r w:rsidRPr="00805609">
        <w:rPr>
          <w:rFonts w:ascii="Calibri" w:hAnsi="Calibri" w:cs="Calibri"/>
          <w:i/>
          <w:iCs/>
          <w:sz w:val="28"/>
          <w:szCs w:val="28"/>
        </w:rPr>
        <w:t>Madison School System v. Brandi Brandenburg</w:t>
      </w:r>
      <w:r w:rsidRPr="00805609">
        <w:rPr>
          <w:rFonts w:ascii="Calibri" w:hAnsi="Calibri" w:cs="Calibri"/>
          <w:sz w:val="28"/>
          <w:szCs w:val="28"/>
        </w:rPr>
        <w:t xml:space="preserve"> centers around a student's off-campus speech and whether public school officials have the authority to regulate such speech under the First Amendment. In this case, Brandi Brandenburg, a high school student, posted a controversial message on her personal social media account outside of school hours and off school grounds. </w:t>
      </w:r>
      <w:r w:rsidR="00B806E0">
        <w:rPr>
          <w:rFonts w:ascii="Calibri" w:hAnsi="Calibri" w:cs="Calibri"/>
          <w:sz w:val="28"/>
          <w:szCs w:val="28"/>
        </w:rPr>
        <w:t>This</w:t>
      </w:r>
      <w:r w:rsidRPr="00805609">
        <w:rPr>
          <w:rFonts w:ascii="Calibri" w:hAnsi="Calibri" w:cs="Calibri"/>
          <w:sz w:val="28"/>
          <w:szCs w:val="28"/>
        </w:rPr>
        <w:t xml:space="preserve"> led to disciplinary action by the school, citing concerns about disruption to the learning environment.</w:t>
      </w:r>
    </w:p>
    <w:p w14:paraId="0B3710E7" w14:textId="582EAE80" w:rsidR="00B806E0" w:rsidRDefault="00805609" w:rsidP="007F60C0">
      <w:pPr>
        <w:rPr>
          <w:rFonts w:ascii="Calibri" w:hAnsi="Calibri" w:cs="Calibri"/>
          <w:sz w:val="28"/>
          <w:szCs w:val="28"/>
        </w:rPr>
      </w:pPr>
      <w:r w:rsidRPr="00805609">
        <w:rPr>
          <w:rFonts w:ascii="Calibri" w:hAnsi="Calibri" w:cs="Calibri"/>
          <w:sz w:val="28"/>
          <w:szCs w:val="28"/>
        </w:rPr>
        <w:t>The central question is whether the First Amendment protects Brandenburg's off-campus speech from school discipline. This issue ties into the ongoing debate over the extent to which schools can regulate student speech that occurs outside the school setting but may still have an impact on the school environment.</w:t>
      </w:r>
      <w:r w:rsidR="00CC1920" w:rsidRPr="00D84452">
        <w:rPr>
          <w:rFonts w:ascii="Calibri" w:hAnsi="Calibri" w:cs="Calibri"/>
          <w:sz w:val="28"/>
          <w:szCs w:val="28"/>
        </w:rPr>
        <w:t xml:space="preserve"> </w:t>
      </w:r>
    </w:p>
    <w:p w14:paraId="3F9B7827" w14:textId="77777777" w:rsidR="00B806E0" w:rsidRDefault="00B806E0" w:rsidP="007F60C0">
      <w:pPr>
        <w:rPr>
          <w:rFonts w:ascii="Calibri" w:hAnsi="Calibri" w:cs="Calibri"/>
          <w:sz w:val="28"/>
          <w:szCs w:val="28"/>
        </w:rPr>
      </w:pPr>
    </w:p>
    <w:p w14:paraId="04DA8699" w14:textId="11E9562B" w:rsidR="007F60C0" w:rsidRPr="00D84452" w:rsidRDefault="007F60C0" w:rsidP="007F60C0">
      <w:pPr>
        <w:rPr>
          <w:rFonts w:ascii="Calibri" w:hAnsi="Calibri" w:cs="Calibri"/>
          <w:sz w:val="28"/>
          <w:szCs w:val="28"/>
        </w:rPr>
      </w:pPr>
      <w:r w:rsidRPr="00D84452">
        <w:rPr>
          <w:rFonts w:ascii="Calibri" w:hAnsi="Calibri" w:cs="Calibri"/>
          <w:sz w:val="28"/>
          <w:szCs w:val="28"/>
        </w:rPr>
        <w:lastRenderedPageBreak/>
        <w:t xml:space="preserve">The following </w:t>
      </w:r>
      <w:r w:rsidR="00C3292F" w:rsidRPr="00D84452">
        <w:rPr>
          <w:rFonts w:ascii="Calibri" w:hAnsi="Calibri" w:cs="Calibri"/>
          <w:sz w:val="28"/>
          <w:szCs w:val="28"/>
        </w:rPr>
        <w:t xml:space="preserve">First Amendment </w:t>
      </w:r>
      <w:r w:rsidRPr="00D84452">
        <w:rPr>
          <w:rFonts w:ascii="Calibri" w:hAnsi="Calibri" w:cs="Calibri"/>
          <w:sz w:val="28"/>
          <w:szCs w:val="28"/>
        </w:rPr>
        <w:t xml:space="preserve">Supreme Court cases offer an opportunity </w:t>
      </w:r>
      <w:r w:rsidR="00C3292F" w:rsidRPr="00D84452">
        <w:rPr>
          <w:rFonts w:ascii="Calibri" w:hAnsi="Calibri" w:cs="Calibri"/>
          <w:sz w:val="28"/>
          <w:szCs w:val="28"/>
        </w:rPr>
        <w:t>for your class to discuss the limits, if any, of free expression</w:t>
      </w:r>
      <w:r w:rsidR="000C3E91" w:rsidRPr="00D84452">
        <w:rPr>
          <w:rFonts w:ascii="Calibri" w:hAnsi="Calibri" w:cs="Calibri"/>
          <w:sz w:val="28"/>
          <w:szCs w:val="28"/>
        </w:rPr>
        <w:t xml:space="preserve"> of students</w:t>
      </w:r>
      <w:r w:rsidR="00C3292F" w:rsidRPr="00D84452">
        <w:rPr>
          <w:rFonts w:ascii="Calibri" w:hAnsi="Calibri" w:cs="Calibri"/>
          <w:sz w:val="28"/>
          <w:szCs w:val="28"/>
        </w:rPr>
        <w:t xml:space="preserve"> in schools and at home.</w:t>
      </w:r>
    </w:p>
    <w:bookmarkEnd w:id="0"/>
    <w:p w14:paraId="6FE47AB3" w14:textId="4C668FF0" w:rsidR="00082DB6" w:rsidRPr="00D84452" w:rsidRDefault="00082DB6" w:rsidP="00082DB6">
      <w:pPr>
        <w:rPr>
          <w:rFonts w:ascii="Calibri" w:hAnsi="Calibri" w:cs="Calibri"/>
          <w:sz w:val="28"/>
          <w:szCs w:val="28"/>
        </w:rPr>
      </w:pPr>
      <w:r w:rsidRPr="00D84452">
        <w:rPr>
          <w:rFonts w:ascii="Calibri" w:hAnsi="Calibri" w:cs="Calibri"/>
          <w:sz w:val="28"/>
          <w:szCs w:val="28"/>
        </w:rPr>
        <w:fldChar w:fldCharType="begin"/>
      </w:r>
      <w:r w:rsidRPr="00D84452">
        <w:rPr>
          <w:rFonts w:ascii="Calibri" w:hAnsi="Calibri" w:cs="Calibri"/>
          <w:sz w:val="28"/>
          <w:szCs w:val="28"/>
        </w:rPr>
        <w:instrText>HYPERLINK "https://www.oyez.org/cases/1940-1955/319us624"</w:instrText>
      </w:r>
      <w:r w:rsidRPr="00D84452">
        <w:rPr>
          <w:rFonts w:ascii="Calibri" w:hAnsi="Calibri" w:cs="Calibri"/>
          <w:sz w:val="28"/>
          <w:szCs w:val="28"/>
        </w:rPr>
      </w:r>
      <w:r w:rsidRPr="00D84452">
        <w:rPr>
          <w:rFonts w:ascii="Calibri" w:hAnsi="Calibri" w:cs="Calibri"/>
          <w:sz w:val="28"/>
          <w:szCs w:val="28"/>
        </w:rPr>
        <w:fldChar w:fldCharType="separate"/>
      </w:r>
      <w:r w:rsidRPr="00D84452">
        <w:rPr>
          <w:rStyle w:val="Hyperlink"/>
          <w:rFonts w:ascii="Calibri" w:hAnsi="Calibri" w:cs="Calibri"/>
          <w:i/>
          <w:iCs/>
          <w:sz w:val="28"/>
          <w:szCs w:val="28"/>
        </w:rPr>
        <w:t>West Virginia State Board of Education v Barnette</w:t>
      </w:r>
      <w:r w:rsidRPr="00D84452">
        <w:rPr>
          <w:rStyle w:val="Hyperlink"/>
          <w:rFonts w:ascii="Calibri" w:hAnsi="Calibri" w:cs="Calibri"/>
          <w:sz w:val="28"/>
          <w:szCs w:val="28"/>
        </w:rPr>
        <w:t>, 1943</w:t>
      </w:r>
      <w:r w:rsidRPr="00D84452">
        <w:rPr>
          <w:rFonts w:ascii="Calibri" w:hAnsi="Calibri" w:cs="Calibri"/>
          <w:sz w:val="28"/>
          <w:szCs w:val="28"/>
        </w:rPr>
        <w:fldChar w:fldCharType="end"/>
      </w:r>
    </w:p>
    <w:p w14:paraId="163D2F2D" w14:textId="19DAA913" w:rsidR="00082DB6" w:rsidRPr="00D84452" w:rsidRDefault="00082DB6" w:rsidP="00082DB6">
      <w:pPr>
        <w:rPr>
          <w:rFonts w:ascii="Calibri" w:hAnsi="Calibri" w:cs="Calibri"/>
          <w:sz w:val="28"/>
          <w:szCs w:val="28"/>
        </w:rPr>
      </w:pPr>
      <w:hyperlink r:id="rId4" w:history="1">
        <w:r w:rsidRPr="00D84452">
          <w:rPr>
            <w:rStyle w:val="Hyperlink"/>
            <w:rFonts w:ascii="Calibri" w:hAnsi="Calibri" w:cs="Calibri"/>
            <w:i/>
            <w:iCs/>
            <w:sz w:val="28"/>
            <w:szCs w:val="28"/>
          </w:rPr>
          <w:t>Brandenburg v. Ohio</w:t>
        </w:r>
        <w:r w:rsidRPr="00D84452">
          <w:rPr>
            <w:rStyle w:val="Hyperlink"/>
            <w:rFonts w:ascii="Calibri" w:hAnsi="Calibri" w:cs="Calibri"/>
            <w:sz w:val="28"/>
            <w:szCs w:val="28"/>
          </w:rPr>
          <w:t>, 1969</w:t>
        </w:r>
      </w:hyperlink>
    </w:p>
    <w:p w14:paraId="5988DB2F" w14:textId="6646C08C" w:rsidR="00082DB6" w:rsidRPr="00D84452" w:rsidRDefault="00082DB6" w:rsidP="00082DB6">
      <w:pPr>
        <w:rPr>
          <w:rFonts w:ascii="Calibri" w:hAnsi="Calibri" w:cs="Calibri"/>
          <w:sz w:val="28"/>
          <w:szCs w:val="28"/>
        </w:rPr>
      </w:pPr>
      <w:hyperlink r:id="rId5" w:history="1">
        <w:r w:rsidRPr="00D84452">
          <w:rPr>
            <w:rStyle w:val="Hyperlink"/>
            <w:rFonts w:ascii="Calibri" w:hAnsi="Calibri" w:cs="Calibri"/>
            <w:i/>
            <w:iCs/>
            <w:sz w:val="28"/>
            <w:szCs w:val="28"/>
          </w:rPr>
          <w:t>Tinker v. Des Moines Independent Community School District</w:t>
        </w:r>
        <w:r w:rsidRPr="00D84452">
          <w:rPr>
            <w:rStyle w:val="Hyperlink"/>
            <w:rFonts w:ascii="Calibri" w:hAnsi="Calibri" w:cs="Calibri"/>
            <w:sz w:val="28"/>
            <w:szCs w:val="28"/>
          </w:rPr>
          <w:t>, 1969</w:t>
        </w:r>
      </w:hyperlink>
    </w:p>
    <w:p w14:paraId="710303C8" w14:textId="79947645" w:rsidR="002D1186" w:rsidRPr="00D84452" w:rsidRDefault="002D1186" w:rsidP="00082DB6">
      <w:pPr>
        <w:rPr>
          <w:rFonts w:ascii="Calibri" w:hAnsi="Calibri" w:cs="Calibri"/>
          <w:sz w:val="28"/>
          <w:szCs w:val="28"/>
        </w:rPr>
      </w:pPr>
      <w:hyperlink r:id="rId6" w:history="1">
        <w:r w:rsidRPr="00D84452">
          <w:rPr>
            <w:rStyle w:val="Hyperlink"/>
            <w:rFonts w:ascii="Calibri" w:hAnsi="Calibri" w:cs="Calibri"/>
            <w:i/>
            <w:iCs/>
            <w:sz w:val="28"/>
            <w:szCs w:val="28"/>
          </w:rPr>
          <w:t>Bethel School District, No 403 v Fraser</w:t>
        </w:r>
        <w:r w:rsidRPr="00D84452">
          <w:rPr>
            <w:rStyle w:val="Hyperlink"/>
            <w:rFonts w:ascii="Calibri" w:hAnsi="Calibri" w:cs="Calibri"/>
            <w:sz w:val="28"/>
            <w:szCs w:val="28"/>
          </w:rPr>
          <w:t>, 1986</w:t>
        </w:r>
      </w:hyperlink>
    </w:p>
    <w:p w14:paraId="15891389" w14:textId="74792D4E" w:rsidR="00082DB6" w:rsidRPr="00D84452" w:rsidRDefault="00082DB6" w:rsidP="00082DB6">
      <w:pPr>
        <w:rPr>
          <w:rFonts w:ascii="Calibri" w:hAnsi="Calibri" w:cs="Calibri"/>
          <w:sz w:val="28"/>
          <w:szCs w:val="28"/>
        </w:rPr>
      </w:pPr>
      <w:hyperlink r:id="rId7" w:history="1">
        <w:r w:rsidRPr="00D84452">
          <w:rPr>
            <w:rStyle w:val="Hyperlink"/>
            <w:rFonts w:ascii="Calibri" w:hAnsi="Calibri" w:cs="Calibri"/>
            <w:i/>
            <w:iCs/>
            <w:sz w:val="28"/>
            <w:szCs w:val="28"/>
          </w:rPr>
          <w:t>Hazelwood School District v, Kulhmeier</w:t>
        </w:r>
        <w:r w:rsidRPr="00D84452">
          <w:rPr>
            <w:rStyle w:val="Hyperlink"/>
            <w:rFonts w:ascii="Calibri" w:hAnsi="Calibri" w:cs="Calibri"/>
            <w:sz w:val="28"/>
            <w:szCs w:val="28"/>
          </w:rPr>
          <w:t>, 1988</w:t>
        </w:r>
      </w:hyperlink>
    </w:p>
    <w:p w14:paraId="4563BD1C" w14:textId="3FEE79C6" w:rsidR="002D1186" w:rsidRPr="00D84452" w:rsidRDefault="002D1186" w:rsidP="00082DB6">
      <w:pPr>
        <w:rPr>
          <w:rFonts w:ascii="Calibri" w:hAnsi="Calibri" w:cs="Calibri"/>
          <w:sz w:val="28"/>
          <w:szCs w:val="28"/>
        </w:rPr>
      </w:pPr>
      <w:hyperlink r:id="rId8" w:history="1">
        <w:r w:rsidRPr="00D84452">
          <w:rPr>
            <w:rStyle w:val="Hyperlink"/>
            <w:rFonts w:ascii="Calibri" w:hAnsi="Calibri" w:cs="Calibri"/>
            <w:i/>
            <w:iCs/>
            <w:sz w:val="28"/>
            <w:szCs w:val="28"/>
          </w:rPr>
          <w:t>Morse v. Frederick</w:t>
        </w:r>
        <w:r w:rsidRPr="00D84452">
          <w:rPr>
            <w:rStyle w:val="Hyperlink"/>
            <w:rFonts w:ascii="Calibri" w:hAnsi="Calibri" w:cs="Calibri"/>
            <w:sz w:val="28"/>
            <w:szCs w:val="28"/>
          </w:rPr>
          <w:t>, 2007</w:t>
        </w:r>
      </w:hyperlink>
    </w:p>
    <w:p w14:paraId="17B7EDE0" w14:textId="184B0E67" w:rsidR="002D1186" w:rsidRPr="00D84452" w:rsidRDefault="002D1186" w:rsidP="00082DB6">
      <w:pPr>
        <w:rPr>
          <w:rFonts w:ascii="Calibri" w:hAnsi="Calibri" w:cs="Calibri"/>
          <w:sz w:val="28"/>
          <w:szCs w:val="28"/>
        </w:rPr>
      </w:pPr>
      <w:hyperlink r:id="rId9" w:history="1">
        <w:r w:rsidRPr="00D84452">
          <w:rPr>
            <w:rStyle w:val="Hyperlink"/>
            <w:rFonts w:ascii="Calibri" w:hAnsi="Calibri" w:cs="Calibri"/>
            <w:i/>
            <w:iCs/>
            <w:sz w:val="28"/>
            <w:szCs w:val="28"/>
          </w:rPr>
          <w:t>Mahanoy Area School District v. BL</w:t>
        </w:r>
        <w:r w:rsidRPr="00D84452">
          <w:rPr>
            <w:rStyle w:val="Hyperlink"/>
            <w:rFonts w:ascii="Calibri" w:hAnsi="Calibri" w:cs="Calibri"/>
            <w:sz w:val="28"/>
            <w:szCs w:val="28"/>
          </w:rPr>
          <w:t>, 2021</w:t>
        </w:r>
      </w:hyperlink>
    </w:p>
    <w:p w14:paraId="5424F806" w14:textId="78FF7750" w:rsidR="00D84452" w:rsidRPr="00D84452" w:rsidRDefault="00D84452" w:rsidP="00D84452">
      <w:pPr>
        <w:rPr>
          <w:rFonts w:ascii="Calibri" w:hAnsi="Calibri" w:cs="Calibri"/>
          <w:sz w:val="28"/>
          <w:szCs w:val="28"/>
        </w:rPr>
      </w:pPr>
      <w:r w:rsidRPr="00D84452">
        <w:rPr>
          <w:rFonts w:ascii="Calibri" w:hAnsi="Calibri" w:cs="Calibri"/>
          <w:sz w:val="28"/>
          <w:szCs w:val="28"/>
        </w:rPr>
        <w:t>*Note</w:t>
      </w:r>
      <w:r>
        <w:rPr>
          <w:rFonts w:ascii="Calibri" w:hAnsi="Calibri" w:cs="Calibri"/>
          <w:sz w:val="28"/>
          <w:szCs w:val="28"/>
        </w:rPr>
        <w:t xml:space="preserve">: </w:t>
      </w:r>
      <w:r w:rsidRPr="00D84452">
        <w:rPr>
          <w:rFonts w:ascii="Calibri" w:hAnsi="Calibri" w:cs="Calibri"/>
          <w:sz w:val="28"/>
          <w:szCs w:val="28"/>
        </w:rPr>
        <w:t xml:space="preserve">whenever addressing the Judge in a trial, </w:t>
      </w:r>
      <w:r>
        <w:rPr>
          <w:rFonts w:ascii="Calibri" w:hAnsi="Calibri" w:cs="Calibri"/>
          <w:sz w:val="28"/>
          <w:szCs w:val="28"/>
        </w:rPr>
        <w:t>Council</w:t>
      </w:r>
      <w:r w:rsidRPr="00D84452">
        <w:rPr>
          <w:rFonts w:ascii="Calibri" w:hAnsi="Calibri" w:cs="Calibri"/>
          <w:sz w:val="28"/>
          <w:szCs w:val="28"/>
        </w:rPr>
        <w:t xml:space="preserve"> stand</w:t>
      </w:r>
      <w:r w:rsidR="00B806E0">
        <w:rPr>
          <w:rFonts w:ascii="Calibri" w:hAnsi="Calibri" w:cs="Calibri"/>
          <w:sz w:val="28"/>
          <w:szCs w:val="28"/>
        </w:rPr>
        <w:t>s</w:t>
      </w:r>
      <w:r>
        <w:rPr>
          <w:rFonts w:ascii="Calibri" w:hAnsi="Calibri" w:cs="Calibri"/>
          <w:sz w:val="28"/>
          <w:szCs w:val="28"/>
        </w:rPr>
        <w:t>*</w:t>
      </w:r>
    </w:p>
    <w:p w14:paraId="5065BAD3" w14:textId="54A2E7FC" w:rsidR="002D1186" w:rsidRPr="00D84452" w:rsidRDefault="00D84452" w:rsidP="00082DB6">
      <w:pPr>
        <w:rPr>
          <w:rFonts w:ascii="Times New Roman" w:hAnsi="Times New Roman" w:cs="Times New Roman"/>
          <w:b/>
          <w:bCs/>
          <w:sz w:val="28"/>
          <w:szCs w:val="28"/>
        </w:rPr>
      </w:pPr>
      <w:r w:rsidRPr="00D84452">
        <w:rPr>
          <w:rFonts w:ascii="Times New Roman" w:hAnsi="Times New Roman" w:cs="Times New Roman"/>
          <w:b/>
          <w:bCs/>
          <w:sz w:val="28"/>
          <w:szCs w:val="28"/>
        </w:rPr>
        <w:t>Participants in the tr</w:t>
      </w:r>
      <w:r w:rsidR="00EA2A95">
        <w:rPr>
          <w:rFonts w:ascii="Times New Roman" w:hAnsi="Times New Roman" w:cs="Times New Roman"/>
          <w:b/>
          <w:bCs/>
          <w:sz w:val="28"/>
          <w:szCs w:val="28"/>
        </w:rPr>
        <w:t>ia</w:t>
      </w:r>
      <w:r w:rsidRPr="00D84452">
        <w:rPr>
          <w:rFonts w:ascii="Times New Roman" w:hAnsi="Times New Roman" w:cs="Times New Roman"/>
          <w:b/>
          <w:bCs/>
          <w:sz w:val="28"/>
          <w:szCs w:val="28"/>
        </w:rPr>
        <w:t>l- (up to 21 roles)</w:t>
      </w:r>
    </w:p>
    <w:p w14:paraId="3E5074F3"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Judge-Chris Cavanagh</w:t>
      </w:r>
    </w:p>
    <w:p w14:paraId="2FA36426"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Bailiff-Kim Kuhlmeier</w:t>
      </w:r>
    </w:p>
    <w:p w14:paraId="2A45BF6D" w14:textId="7864FEFE"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Prosecution Council #1-Jordan Brandeis</w:t>
      </w:r>
      <w:r w:rsidR="005547D0">
        <w:rPr>
          <w:rFonts w:ascii="Times New Roman" w:hAnsi="Times New Roman" w:cs="Times New Roman"/>
          <w:sz w:val="28"/>
          <w:szCs w:val="28"/>
        </w:rPr>
        <w:t xml:space="preserve"> (will need the copy of prosecution Exhibit “A” below)</w:t>
      </w:r>
    </w:p>
    <w:p w14:paraId="50CD8639"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Prosecution Council #2-Bobbie Gutwein</w:t>
      </w:r>
    </w:p>
    <w:p w14:paraId="77A31970"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Prosecution Witness #1-Coach Hazelwood</w:t>
      </w:r>
    </w:p>
    <w:p w14:paraId="4713CAA2"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Prosecution Witness #2-Taylor Tinker</w:t>
      </w:r>
    </w:p>
    <w:p w14:paraId="5D5186E3"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Defense Council #1-F. Fraser</w:t>
      </w:r>
    </w:p>
    <w:p w14:paraId="1BB08ABC"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Defense Council #2-D.P. Lee</w:t>
      </w:r>
    </w:p>
    <w:p w14:paraId="5EC700B9"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Defense Witness #1- Professor J. Patrick</w:t>
      </w:r>
    </w:p>
    <w:p w14:paraId="13739C6A" w14:textId="77777777"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 xml:space="preserve">Defense Witness #2- Brandi Brandenburg </w:t>
      </w:r>
    </w:p>
    <w:p w14:paraId="0EEBA2C2" w14:textId="017546D6" w:rsidR="00D84452" w:rsidRPr="00D84452" w:rsidRDefault="00D84452" w:rsidP="00D84452">
      <w:pPr>
        <w:rPr>
          <w:rFonts w:ascii="Times New Roman" w:hAnsi="Times New Roman" w:cs="Times New Roman"/>
          <w:sz w:val="28"/>
          <w:szCs w:val="28"/>
        </w:rPr>
      </w:pPr>
      <w:r w:rsidRPr="00D84452">
        <w:rPr>
          <w:rFonts w:ascii="Times New Roman" w:hAnsi="Times New Roman" w:cs="Times New Roman"/>
          <w:sz w:val="28"/>
          <w:szCs w:val="28"/>
        </w:rPr>
        <w:t>Jury</w:t>
      </w:r>
      <w:r w:rsidR="005547D0">
        <w:rPr>
          <w:rFonts w:ascii="Times New Roman" w:hAnsi="Times New Roman" w:cs="Times New Roman"/>
          <w:sz w:val="28"/>
          <w:szCs w:val="28"/>
        </w:rPr>
        <w:t>- Up to 11 members</w:t>
      </w:r>
    </w:p>
    <w:p w14:paraId="35C51559" w14:textId="77777777" w:rsidR="005547D0" w:rsidRDefault="005547D0" w:rsidP="00082DB6">
      <w:pPr>
        <w:rPr>
          <w:rFonts w:ascii="Times New Roman" w:hAnsi="Times New Roman" w:cs="Times New Roman"/>
          <w:sz w:val="28"/>
          <w:szCs w:val="28"/>
        </w:rPr>
      </w:pPr>
    </w:p>
    <w:p w14:paraId="208BA2C5" w14:textId="77777777" w:rsidR="005547D0" w:rsidRPr="006E3CC1" w:rsidRDefault="005547D0" w:rsidP="005547D0">
      <w:pPr>
        <w:jc w:val="center"/>
        <w:rPr>
          <w:rFonts w:ascii="Times New Roman" w:hAnsi="Times New Roman" w:cs="Times New Roman"/>
          <w:b/>
          <w:bCs/>
          <w:sz w:val="48"/>
          <w:szCs w:val="48"/>
        </w:rPr>
      </w:pPr>
      <w:r w:rsidRPr="006E3CC1">
        <w:rPr>
          <w:rFonts w:ascii="Times New Roman" w:hAnsi="Times New Roman" w:cs="Times New Roman"/>
          <w:b/>
          <w:bCs/>
          <w:sz w:val="48"/>
          <w:szCs w:val="48"/>
        </w:rPr>
        <w:lastRenderedPageBreak/>
        <w:t>Prosecution Exhibit “A”</w:t>
      </w:r>
    </w:p>
    <w:p w14:paraId="27F016A4" w14:textId="77777777" w:rsidR="005547D0" w:rsidRDefault="005547D0" w:rsidP="005547D0">
      <w:pPr>
        <w:jc w:val="center"/>
        <w:rPr>
          <w:rFonts w:ascii="Times New Roman" w:hAnsi="Times New Roman" w:cs="Times New Roman"/>
          <w:b/>
          <w:bCs/>
          <w:sz w:val="40"/>
          <w:szCs w:val="40"/>
        </w:rPr>
      </w:pPr>
    </w:p>
    <w:p w14:paraId="40A15876" w14:textId="77777777" w:rsidR="005547D0" w:rsidRPr="00413372" w:rsidRDefault="005547D0" w:rsidP="005547D0">
      <w:pPr>
        <w:jc w:val="center"/>
        <w:rPr>
          <w:rFonts w:ascii="Times New Roman" w:hAnsi="Times New Roman" w:cs="Times New Roman"/>
          <w:b/>
          <w:bCs/>
          <w:sz w:val="40"/>
          <w:szCs w:val="40"/>
        </w:rPr>
      </w:pPr>
      <w:r w:rsidRPr="00413372">
        <w:rPr>
          <w:rFonts w:ascii="Times New Roman" w:hAnsi="Times New Roman" w:cs="Times New Roman"/>
          <w:b/>
          <w:bCs/>
          <w:sz w:val="40"/>
          <w:szCs w:val="40"/>
        </w:rPr>
        <w:t>Madison School Extracurricular</w:t>
      </w:r>
    </w:p>
    <w:p w14:paraId="08CB7A44" w14:textId="77777777" w:rsidR="005547D0" w:rsidRDefault="005547D0" w:rsidP="005547D0">
      <w:pPr>
        <w:jc w:val="center"/>
        <w:rPr>
          <w:rFonts w:ascii="Times New Roman" w:hAnsi="Times New Roman" w:cs="Times New Roman"/>
          <w:b/>
          <w:bCs/>
          <w:sz w:val="40"/>
          <w:szCs w:val="40"/>
        </w:rPr>
      </w:pPr>
      <w:r w:rsidRPr="00413372">
        <w:rPr>
          <w:rFonts w:ascii="Times New Roman" w:hAnsi="Times New Roman" w:cs="Times New Roman"/>
          <w:b/>
          <w:bCs/>
          <w:sz w:val="40"/>
          <w:szCs w:val="40"/>
        </w:rPr>
        <w:t>Code of Conduct</w:t>
      </w:r>
    </w:p>
    <w:p w14:paraId="011E3C8D" w14:textId="77777777" w:rsidR="005547D0" w:rsidRPr="00413372" w:rsidRDefault="005547D0" w:rsidP="005547D0">
      <w:pPr>
        <w:spacing w:after="100" w:afterAutospacing="1"/>
        <w:rPr>
          <w:rFonts w:ascii="Times New Roman" w:hAnsi="Times New Roman" w:cs="Times New Roman"/>
          <w:sz w:val="40"/>
          <w:szCs w:val="40"/>
        </w:rPr>
      </w:pPr>
      <w:r w:rsidRPr="00413372">
        <w:rPr>
          <w:rFonts w:ascii="Times New Roman" w:hAnsi="Times New Roman" w:cs="Times New Roman"/>
          <w:sz w:val="40"/>
          <w:szCs w:val="40"/>
        </w:rPr>
        <w:t>Being mindful that all members of extracurricular</w:t>
      </w:r>
      <w:r>
        <w:rPr>
          <w:rFonts w:ascii="Times New Roman" w:hAnsi="Times New Roman" w:cs="Times New Roman"/>
          <w:sz w:val="40"/>
          <w:szCs w:val="40"/>
        </w:rPr>
        <w:t xml:space="preserve"> </w:t>
      </w:r>
      <w:r w:rsidRPr="00413372">
        <w:rPr>
          <w:rFonts w:ascii="Times New Roman" w:hAnsi="Times New Roman" w:cs="Times New Roman"/>
          <w:sz w:val="40"/>
          <w:szCs w:val="40"/>
        </w:rPr>
        <w:t>organizations and teams associated with Madison High</w:t>
      </w:r>
      <w:r>
        <w:rPr>
          <w:rFonts w:ascii="Times New Roman" w:hAnsi="Times New Roman" w:cs="Times New Roman"/>
          <w:sz w:val="40"/>
          <w:szCs w:val="40"/>
        </w:rPr>
        <w:t xml:space="preserve"> </w:t>
      </w:r>
      <w:r w:rsidRPr="00413372">
        <w:rPr>
          <w:rFonts w:ascii="Times New Roman" w:hAnsi="Times New Roman" w:cs="Times New Roman"/>
          <w:sz w:val="40"/>
          <w:szCs w:val="40"/>
        </w:rPr>
        <w:t>School stand as representatives of the school in the</w:t>
      </w:r>
      <w:r>
        <w:rPr>
          <w:rFonts w:ascii="Times New Roman" w:hAnsi="Times New Roman" w:cs="Times New Roman"/>
          <w:sz w:val="40"/>
          <w:szCs w:val="40"/>
        </w:rPr>
        <w:t xml:space="preserve"> </w:t>
      </w:r>
      <w:r w:rsidRPr="00413372">
        <w:rPr>
          <w:rFonts w:ascii="Times New Roman" w:hAnsi="Times New Roman" w:cs="Times New Roman"/>
          <w:sz w:val="40"/>
          <w:szCs w:val="40"/>
        </w:rPr>
        <w:t>community, students should show respect for their school,</w:t>
      </w:r>
      <w:r>
        <w:rPr>
          <w:rFonts w:ascii="Times New Roman" w:hAnsi="Times New Roman" w:cs="Times New Roman"/>
          <w:sz w:val="40"/>
          <w:szCs w:val="40"/>
        </w:rPr>
        <w:t xml:space="preserve"> </w:t>
      </w:r>
      <w:r w:rsidRPr="00413372">
        <w:rPr>
          <w:rFonts w:ascii="Times New Roman" w:hAnsi="Times New Roman" w:cs="Times New Roman"/>
          <w:sz w:val="40"/>
          <w:szCs w:val="40"/>
        </w:rPr>
        <w:t>teachers, and fellow students. Participants should avoid</w:t>
      </w:r>
      <w:r>
        <w:rPr>
          <w:rFonts w:ascii="Times New Roman" w:hAnsi="Times New Roman" w:cs="Times New Roman"/>
          <w:sz w:val="40"/>
          <w:szCs w:val="40"/>
        </w:rPr>
        <w:t xml:space="preserve"> </w:t>
      </w:r>
      <w:r w:rsidRPr="00413372">
        <w:rPr>
          <w:rFonts w:ascii="Times New Roman" w:hAnsi="Times New Roman" w:cs="Times New Roman"/>
          <w:sz w:val="40"/>
          <w:szCs w:val="40"/>
        </w:rPr>
        <w:t>foul language and inappropriate gestures. Students should</w:t>
      </w:r>
      <w:r>
        <w:rPr>
          <w:rFonts w:ascii="Times New Roman" w:hAnsi="Times New Roman" w:cs="Times New Roman"/>
          <w:sz w:val="40"/>
          <w:szCs w:val="40"/>
        </w:rPr>
        <w:t xml:space="preserve"> </w:t>
      </w:r>
      <w:r w:rsidRPr="00413372">
        <w:rPr>
          <w:rFonts w:ascii="Times New Roman" w:hAnsi="Times New Roman" w:cs="Times New Roman"/>
          <w:sz w:val="40"/>
          <w:szCs w:val="40"/>
        </w:rPr>
        <w:t>also refrain from posting negative information regarding</w:t>
      </w:r>
      <w:r>
        <w:rPr>
          <w:rFonts w:ascii="Times New Roman" w:hAnsi="Times New Roman" w:cs="Times New Roman"/>
          <w:sz w:val="40"/>
          <w:szCs w:val="40"/>
        </w:rPr>
        <w:t xml:space="preserve"> other students, </w:t>
      </w:r>
      <w:r w:rsidRPr="00413372">
        <w:rPr>
          <w:rFonts w:ascii="Times New Roman" w:hAnsi="Times New Roman" w:cs="Times New Roman"/>
          <w:sz w:val="40"/>
          <w:szCs w:val="40"/>
        </w:rPr>
        <w:t>cheer, cheerleaders, and coaches on the internet.</w:t>
      </w:r>
    </w:p>
    <w:p w14:paraId="35D0A661" w14:textId="77777777" w:rsidR="005547D0" w:rsidRPr="00D84452" w:rsidRDefault="005547D0" w:rsidP="00082DB6">
      <w:pPr>
        <w:rPr>
          <w:rFonts w:ascii="Times New Roman" w:hAnsi="Times New Roman" w:cs="Times New Roman"/>
          <w:sz w:val="28"/>
          <w:szCs w:val="28"/>
        </w:rPr>
      </w:pPr>
    </w:p>
    <w:sectPr w:rsidR="005547D0" w:rsidRPr="00D844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DB6"/>
    <w:rsid w:val="00082DB6"/>
    <w:rsid w:val="000C3E91"/>
    <w:rsid w:val="00266DDD"/>
    <w:rsid w:val="002D1186"/>
    <w:rsid w:val="003D797B"/>
    <w:rsid w:val="005547D0"/>
    <w:rsid w:val="0060068E"/>
    <w:rsid w:val="007F60C0"/>
    <w:rsid w:val="00805609"/>
    <w:rsid w:val="009162CC"/>
    <w:rsid w:val="00943C97"/>
    <w:rsid w:val="00B75C2E"/>
    <w:rsid w:val="00B76E65"/>
    <w:rsid w:val="00B806E0"/>
    <w:rsid w:val="00C3292F"/>
    <w:rsid w:val="00CC1920"/>
    <w:rsid w:val="00D84452"/>
    <w:rsid w:val="00EA2A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1E1A7"/>
  <w15:chartTrackingRefBased/>
  <w15:docId w15:val="{6437A837-9DF1-4C3C-9EB5-7A4AA07B0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82D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2D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2D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2D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2D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2D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2D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2D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2D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2DB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2D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2D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2D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2D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2D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2D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2D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2DB6"/>
    <w:rPr>
      <w:rFonts w:eastAsiaTheme="majorEastAsia" w:cstheme="majorBidi"/>
      <w:color w:val="272727" w:themeColor="text1" w:themeTint="D8"/>
    </w:rPr>
  </w:style>
  <w:style w:type="paragraph" w:styleId="Title">
    <w:name w:val="Title"/>
    <w:basedOn w:val="Normal"/>
    <w:next w:val="Normal"/>
    <w:link w:val="TitleChar"/>
    <w:uiPriority w:val="10"/>
    <w:qFormat/>
    <w:rsid w:val="00082D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DB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2DB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2DB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2DB6"/>
    <w:pPr>
      <w:spacing w:before="160"/>
      <w:jc w:val="center"/>
    </w:pPr>
    <w:rPr>
      <w:i/>
      <w:iCs/>
      <w:color w:val="404040" w:themeColor="text1" w:themeTint="BF"/>
    </w:rPr>
  </w:style>
  <w:style w:type="character" w:customStyle="1" w:styleId="QuoteChar">
    <w:name w:val="Quote Char"/>
    <w:basedOn w:val="DefaultParagraphFont"/>
    <w:link w:val="Quote"/>
    <w:uiPriority w:val="29"/>
    <w:rsid w:val="00082DB6"/>
    <w:rPr>
      <w:i/>
      <w:iCs/>
      <w:color w:val="404040" w:themeColor="text1" w:themeTint="BF"/>
    </w:rPr>
  </w:style>
  <w:style w:type="paragraph" w:styleId="ListParagraph">
    <w:name w:val="List Paragraph"/>
    <w:basedOn w:val="Normal"/>
    <w:uiPriority w:val="34"/>
    <w:qFormat/>
    <w:rsid w:val="00082DB6"/>
    <w:pPr>
      <w:ind w:left="720"/>
      <w:contextualSpacing/>
    </w:pPr>
  </w:style>
  <w:style w:type="character" w:styleId="IntenseEmphasis">
    <w:name w:val="Intense Emphasis"/>
    <w:basedOn w:val="DefaultParagraphFont"/>
    <w:uiPriority w:val="21"/>
    <w:qFormat/>
    <w:rsid w:val="00082DB6"/>
    <w:rPr>
      <w:i/>
      <w:iCs/>
      <w:color w:val="0F4761" w:themeColor="accent1" w:themeShade="BF"/>
    </w:rPr>
  </w:style>
  <w:style w:type="paragraph" w:styleId="IntenseQuote">
    <w:name w:val="Intense Quote"/>
    <w:basedOn w:val="Normal"/>
    <w:next w:val="Normal"/>
    <w:link w:val="IntenseQuoteChar"/>
    <w:uiPriority w:val="30"/>
    <w:qFormat/>
    <w:rsid w:val="00082D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2DB6"/>
    <w:rPr>
      <w:i/>
      <w:iCs/>
      <w:color w:val="0F4761" w:themeColor="accent1" w:themeShade="BF"/>
    </w:rPr>
  </w:style>
  <w:style w:type="character" w:styleId="IntenseReference">
    <w:name w:val="Intense Reference"/>
    <w:basedOn w:val="DefaultParagraphFont"/>
    <w:uiPriority w:val="32"/>
    <w:qFormat/>
    <w:rsid w:val="00082DB6"/>
    <w:rPr>
      <w:b/>
      <w:bCs/>
      <w:smallCaps/>
      <w:color w:val="0F4761" w:themeColor="accent1" w:themeShade="BF"/>
      <w:spacing w:val="5"/>
    </w:rPr>
  </w:style>
  <w:style w:type="character" w:styleId="Hyperlink">
    <w:name w:val="Hyperlink"/>
    <w:basedOn w:val="DefaultParagraphFont"/>
    <w:uiPriority w:val="99"/>
    <w:unhideWhenUsed/>
    <w:rsid w:val="00082DB6"/>
    <w:rPr>
      <w:color w:val="467886" w:themeColor="hyperlink"/>
      <w:u w:val="single"/>
    </w:rPr>
  </w:style>
  <w:style w:type="character" w:styleId="UnresolvedMention">
    <w:name w:val="Unresolved Mention"/>
    <w:basedOn w:val="DefaultParagraphFont"/>
    <w:uiPriority w:val="99"/>
    <w:semiHidden/>
    <w:unhideWhenUsed/>
    <w:rsid w:val="00082D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yez.org/cases/2006/06-278" TargetMode="External"/><Relationship Id="rId3" Type="http://schemas.openxmlformats.org/officeDocument/2006/relationships/webSettings" Target="webSettings.xml"/><Relationship Id="rId7" Type="http://schemas.openxmlformats.org/officeDocument/2006/relationships/hyperlink" Target="https://www.oyez.org/cases/1968/2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oyez.org/cases/1968/21" TargetMode="External"/><Relationship Id="rId11" Type="http://schemas.openxmlformats.org/officeDocument/2006/relationships/theme" Target="theme/theme1.xml"/><Relationship Id="rId5" Type="http://schemas.openxmlformats.org/officeDocument/2006/relationships/hyperlink" Target="https://www.oyez.org/cases/1968/21" TargetMode="External"/><Relationship Id="rId10" Type="http://schemas.openxmlformats.org/officeDocument/2006/relationships/fontTable" Target="fontTable.xml"/><Relationship Id="rId4" Type="http://schemas.openxmlformats.org/officeDocument/2006/relationships/hyperlink" Target="https://www.oyez.org/cases/1968/21" TargetMode="External"/><Relationship Id="rId9" Type="http://schemas.openxmlformats.org/officeDocument/2006/relationships/hyperlink" Target="https://www.oyez.org/cases/2020/20-2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588</Words>
  <Characters>3219</Characters>
  <Application>Microsoft Office Word</Application>
  <DocSecurity>0</DocSecurity>
  <Lines>82</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Leming</dc:creator>
  <cp:keywords/>
  <dc:description/>
  <cp:lastModifiedBy>Jennifer Castro</cp:lastModifiedBy>
  <cp:revision>5</cp:revision>
  <dcterms:created xsi:type="dcterms:W3CDTF">2025-01-30T20:03:00Z</dcterms:created>
  <dcterms:modified xsi:type="dcterms:W3CDTF">2025-02-05T00:32:00Z</dcterms:modified>
</cp:coreProperties>
</file>