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0B40607D" w14:textId="26E83F64" w:rsidR="007E3F3C" w:rsidRPr="00441985" w:rsidRDefault="00572A43" w:rsidP="007E3F3C">
      <w:pPr>
        <w:spacing w:after="0" w:line="240" w:lineRule="auto"/>
        <w:jc w:val="center"/>
        <w:rPr>
          <w:rFonts w:eastAsia="Calibri" w:cstheme="minorHAnsi"/>
          <w:b/>
          <w:bCs/>
        </w:rPr>
      </w:pPr>
      <w:bookmarkStart w:id="0" w:name="_Hlk181690839"/>
      <w:r>
        <w:rPr>
          <w:rFonts w:eastAsia="Calibri" w:cstheme="minorHAnsi"/>
          <w:b/>
          <w:bCs/>
        </w:rPr>
        <w:t>Marijuana and Hallucinogens</w:t>
      </w:r>
      <w:r w:rsidR="007E3F3C" w:rsidRPr="00441985">
        <w:rPr>
          <w:rFonts w:eastAsia="Calibri" w:cstheme="minorHAnsi"/>
          <w:b/>
          <w:bCs/>
        </w:rPr>
        <w:t xml:space="preserve"> Academy</w:t>
      </w:r>
    </w:p>
    <w:p w14:paraId="4CB19395" w14:textId="57A88E1E" w:rsidR="007E3F3C" w:rsidRDefault="00572A43" w:rsidP="007E3F3C">
      <w:pPr>
        <w:widowControl w:val="0"/>
        <w:autoSpaceDE w:val="0"/>
        <w:autoSpaceDN w:val="0"/>
        <w:adjustRightInd w:val="0"/>
        <w:spacing w:after="0" w:line="240" w:lineRule="auto"/>
        <w:ind w:left="1710" w:hanging="1710"/>
        <w:jc w:val="center"/>
        <w:rPr>
          <w:rFonts w:eastAsia="Calibri" w:cstheme="minorHAnsi"/>
          <w:b/>
          <w:bCs/>
        </w:rPr>
      </w:pPr>
      <w:r>
        <w:rPr>
          <w:rFonts w:eastAsia="Calibri" w:cstheme="minorHAnsi"/>
          <w:b/>
          <w:bCs/>
        </w:rPr>
        <w:t xml:space="preserve">What </w:t>
      </w:r>
      <w:proofErr w:type="gramStart"/>
      <w:r w:rsidR="00F70056">
        <w:rPr>
          <w:rFonts w:eastAsia="Calibri" w:cstheme="minorHAnsi"/>
          <w:b/>
          <w:bCs/>
        </w:rPr>
        <w:t>are</w:t>
      </w:r>
      <w:proofErr w:type="gramEnd"/>
      <w:r>
        <w:rPr>
          <w:rFonts w:eastAsia="Calibri" w:cstheme="minorHAnsi"/>
          <w:b/>
          <w:bCs/>
        </w:rPr>
        <w:t xml:space="preserve"> Hallucinogens</w:t>
      </w:r>
      <w:r w:rsidR="007E3F3C" w:rsidRPr="00441985">
        <w:rPr>
          <w:rFonts w:eastAsia="Calibri" w:cstheme="minorHAnsi"/>
          <w:b/>
          <w:bCs/>
        </w:rPr>
        <w:t xml:space="preserve"> Lesson </w:t>
      </w:r>
      <w:bookmarkEnd w:id="0"/>
    </w:p>
    <w:p w14:paraId="3A130EB9" w14:textId="3F9CCE66" w:rsidR="007E3F3C" w:rsidRDefault="00336C1B" w:rsidP="007E3F3C">
      <w:pPr>
        <w:widowControl w:val="0"/>
        <w:autoSpaceDE w:val="0"/>
        <w:autoSpaceDN w:val="0"/>
        <w:adjustRightInd w:val="0"/>
        <w:spacing w:after="0" w:line="240" w:lineRule="auto"/>
        <w:ind w:left="1710" w:hanging="1710"/>
        <w:jc w:val="center"/>
        <w:rPr>
          <w:rFonts w:eastAsia="Calibri" w:cstheme="minorHAnsi"/>
          <w:b/>
          <w:bCs/>
        </w:rPr>
      </w:pPr>
      <w:r>
        <w:rPr>
          <w:rFonts w:eastAsia="Calibri" w:cstheme="minorHAnsi"/>
          <w:b/>
          <w:bCs/>
        </w:rPr>
        <w:t>Each One, Teach One Statements</w:t>
      </w:r>
    </w:p>
    <w:p w14:paraId="6F95F9A1" w14:textId="77777777" w:rsidR="0029278C" w:rsidRDefault="0029278C" w:rsidP="007E3F3C">
      <w:pPr>
        <w:widowControl w:val="0"/>
        <w:autoSpaceDE w:val="0"/>
        <w:autoSpaceDN w:val="0"/>
        <w:adjustRightInd w:val="0"/>
        <w:spacing w:after="0" w:line="240" w:lineRule="auto"/>
        <w:ind w:left="1710" w:hanging="1710"/>
        <w:jc w:val="center"/>
        <w:rPr>
          <w:rFonts w:eastAsia="Calibri" w:cstheme="minorHAnsi"/>
          <w:b/>
          <w:bCs/>
        </w:rPr>
      </w:pPr>
    </w:p>
    <w:p w14:paraId="179A71CF" w14:textId="77777777" w:rsidR="0029278C" w:rsidRDefault="0029278C" w:rsidP="007E3F3C">
      <w:pPr>
        <w:widowControl w:val="0"/>
        <w:autoSpaceDE w:val="0"/>
        <w:autoSpaceDN w:val="0"/>
        <w:adjustRightInd w:val="0"/>
        <w:spacing w:after="0" w:line="240" w:lineRule="auto"/>
        <w:ind w:left="1710" w:hanging="1710"/>
        <w:jc w:val="center"/>
        <w:rPr>
          <w:rFonts w:eastAsia="Calibri" w:cstheme="minorHAnsi"/>
          <w:b/>
          <w:bCs/>
        </w:rPr>
      </w:pPr>
    </w:p>
    <w:p w14:paraId="583A8701" w14:textId="77777777" w:rsidR="007E3F3C" w:rsidRPr="007E3F3C" w:rsidRDefault="007E3F3C" w:rsidP="007E3F3C">
      <w:pPr>
        <w:widowControl w:val="0"/>
        <w:autoSpaceDE w:val="0"/>
        <w:autoSpaceDN w:val="0"/>
        <w:adjustRightInd w:val="0"/>
        <w:spacing w:after="0" w:line="240" w:lineRule="auto"/>
        <w:ind w:left="1710" w:hanging="1710"/>
        <w:jc w:val="center"/>
        <w:rPr>
          <w:rFonts w:eastAsia="Calibri" w:cstheme="minorHAnsi"/>
          <w:b/>
          <w:bCs/>
        </w:rPr>
      </w:pPr>
    </w:p>
    <w:p w14:paraId="32BC300C" w14:textId="6AF55F33" w:rsidR="001638C7" w:rsidRDefault="001638C7" w:rsidP="001638C7">
      <w:pPr>
        <w:numPr>
          <w:ilvl w:val="0"/>
          <w:numId w:val="4"/>
        </w:numPr>
        <w:rPr>
          <w:sz w:val="36"/>
          <w:szCs w:val="36"/>
        </w:rPr>
      </w:pPr>
      <w:r w:rsidRPr="001638C7">
        <w:rPr>
          <w:sz w:val="36"/>
          <w:szCs w:val="36"/>
        </w:rPr>
        <w:t>One dose of LSD is usually 50 to 300 micrograms. One ounce of pure LSD supplies approximately 300,00 doses.</w:t>
      </w:r>
      <w:r>
        <w:rPr>
          <w:sz w:val="36"/>
          <w:szCs w:val="36"/>
        </w:rPr>
        <w:t xml:space="preserve">  </w:t>
      </w:r>
      <w:r w:rsidRPr="001638C7">
        <w:rPr>
          <w:sz w:val="36"/>
          <w:szCs w:val="36"/>
        </w:rPr>
        <w:tab/>
      </w:r>
    </w:p>
    <w:p w14:paraId="208DC606" w14:textId="77777777" w:rsidR="001638C7" w:rsidRPr="001638C7" w:rsidRDefault="001638C7" w:rsidP="001638C7">
      <w:pPr>
        <w:ind w:left="720"/>
        <w:rPr>
          <w:sz w:val="36"/>
          <w:szCs w:val="36"/>
        </w:rPr>
      </w:pPr>
    </w:p>
    <w:p w14:paraId="78602820" w14:textId="32187213" w:rsidR="00336C1B" w:rsidRPr="00336C1B" w:rsidRDefault="00336C1B" w:rsidP="00336C1B">
      <w:pPr>
        <w:numPr>
          <w:ilvl w:val="0"/>
          <w:numId w:val="4"/>
        </w:numPr>
        <w:rPr>
          <w:sz w:val="36"/>
          <w:szCs w:val="36"/>
        </w:rPr>
      </w:pPr>
      <w:r w:rsidRPr="00336C1B">
        <w:rPr>
          <w:sz w:val="36"/>
          <w:szCs w:val="36"/>
        </w:rPr>
        <w:t>LSD is a synthetic drug that has been abused for its hallucinogenic properties.</w:t>
      </w:r>
      <w:r w:rsidR="004A074E">
        <w:rPr>
          <w:sz w:val="36"/>
          <w:szCs w:val="36"/>
        </w:rPr>
        <w:t xml:space="preserve"> </w:t>
      </w:r>
    </w:p>
    <w:p w14:paraId="1BF042AC" w14:textId="77777777" w:rsidR="00336C1B" w:rsidRPr="00336C1B" w:rsidRDefault="00336C1B" w:rsidP="00336C1B">
      <w:pPr>
        <w:rPr>
          <w:sz w:val="36"/>
          <w:szCs w:val="36"/>
        </w:rPr>
      </w:pPr>
    </w:p>
    <w:p w14:paraId="6B3A7B73" w14:textId="6EDD18C5" w:rsidR="00336C1B" w:rsidRDefault="00336C1B" w:rsidP="00336C1B">
      <w:pPr>
        <w:numPr>
          <w:ilvl w:val="0"/>
          <w:numId w:val="4"/>
        </w:numPr>
        <w:rPr>
          <w:sz w:val="36"/>
          <w:szCs w:val="36"/>
        </w:rPr>
      </w:pPr>
      <w:r w:rsidRPr="00336C1B">
        <w:rPr>
          <w:sz w:val="36"/>
          <w:szCs w:val="36"/>
        </w:rPr>
        <w:t xml:space="preserve">LSD is a schedule </w:t>
      </w:r>
      <w:r w:rsidR="006A33A9">
        <w:rPr>
          <w:sz w:val="36"/>
          <w:szCs w:val="36"/>
        </w:rPr>
        <w:t>1</w:t>
      </w:r>
      <w:r w:rsidRPr="00336C1B">
        <w:rPr>
          <w:sz w:val="36"/>
          <w:szCs w:val="36"/>
        </w:rPr>
        <w:t xml:space="preserve"> substance under the Controlled Substances Act</w:t>
      </w:r>
      <w:r w:rsidR="006F6A37">
        <w:rPr>
          <w:sz w:val="36"/>
          <w:szCs w:val="36"/>
        </w:rPr>
        <w:t>.</w:t>
      </w:r>
      <w:r w:rsidR="004A074E">
        <w:rPr>
          <w:sz w:val="36"/>
          <w:szCs w:val="36"/>
        </w:rPr>
        <w:t xml:space="preserve"> </w:t>
      </w:r>
      <w:r w:rsidR="006A33A9" w:rsidRPr="006A33A9">
        <w:rPr>
          <w:sz w:val="36"/>
          <w:szCs w:val="36"/>
        </w:rPr>
        <w:t>Schedule 1 substances are defined as drugs with no currently accepted medical use and a high potential for abuse.</w:t>
      </w:r>
    </w:p>
    <w:p w14:paraId="67319CFF" w14:textId="77777777" w:rsidR="001638C7" w:rsidRDefault="001638C7" w:rsidP="001638C7">
      <w:pPr>
        <w:pStyle w:val="ListParagraph"/>
        <w:rPr>
          <w:sz w:val="36"/>
          <w:szCs w:val="36"/>
        </w:rPr>
      </w:pPr>
    </w:p>
    <w:p w14:paraId="3BE85EB7" w14:textId="28343AF4" w:rsidR="001638C7" w:rsidRDefault="001638C7" w:rsidP="00FC45E4">
      <w:pPr>
        <w:numPr>
          <w:ilvl w:val="0"/>
          <w:numId w:val="4"/>
        </w:numPr>
        <w:rPr>
          <w:sz w:val="36"/>
          <w:szCs w:val="36"/>
        </w:rPr>
      </w:pPr>
      <w:r w:rsidRPr="001638C7">
        <w:rPr>
          <w:sz w:val="36"/>
          <w:szCs w:val="36"/>
        </w:rPr>
        <w:t xml:space="preserve">Lysergic Acid Diethylamide </w:t>
      </w:r>
      <w:r>
        <w:rPr>
          <w:sz w:val="36"/>
          <w:szCs w:val="36"/>
        </w:rPr>
        <w:t xml:space="preserve">is </w:t>
      </w:r>
      <w:r w:rsidRPr="001638C7">
        <w:rPr>
          <w:sz w:val="36"/>
          <w:szCs w:val="36"/>
        </w:rPr>
        <w:t xml:space="preserve">also known as LSD </w:t>
      </w:r>
    </w:p>
    <w:p w14:paraId="2A5E29D4" w14:textId="77777777" w:rsidR="001638C7" w:rsidRDefault="001638C7" w:rsidP="001638C7">
      <w:pPr>
        <w:rPr>
          <w:sz w:val="36"/>
          <w:szCs w:val="36"/>
        </w:rPr>
      </w:pPr>
    </w:p>
    <w:p w14:paraId="3FA9BD39" w14:textId="77777777" w:rsidR="0029278C" w:rsidRPr="001638C7" w:rsidRDefault="0029278C" w:rsidP="001638C7">
      <w:pPr>
        <w:rPr>
          <w:sz w:val="36"/>
          <w:szCs w:val="36"/>
        </w:rPr>
      </w:pPr>
    </w:p>
    <w:p w14:paraId="697EA7C5" w14:textId="77777777" w:rsidR="0029278C" w:rsidRDefault="0029278C" w:rsidP="0029278C">
      <w:pPr>
        <w:ind w:left="720"/>
        <w:rPr>
          <w:sz w:val="36"/>
          <w:szCs w:val="36"/>
        </w:rPr>
      </w:pPr>
    </w:p>
    <w:p w14:paraId="527666E3" w14:textId="77777777" w:rsidR="005F0980" w:rsidRDefault="005F0980" w:rsidP="005F0980">
      <w:pPr>
        <w:ind w:left="720"/>
        <w:rPr>
          <w:sz w:val="36"/>
          <w:szCs w:val="36"/>
        </w:rPr>
      </w:pPr>
    </w:p>
    <w:p w14:paraId="797766C7" w14:textId="31F6570D" w:rsidR="001638C7" w:rsidRPr="001638C7" w:rsidRDefault="001638C7" w:rsidP="001638C7">
      <w:pPr>
        <w:numPr>
          <w:ilvl w:val="0"/>
          <w:numId w:val="4"/>
        </w:numPr>
        <w:rPr>
          <w:sz w:val="36"/>
          <w:szCs w:val="36"/>
        </w:rPr>
      </w:pPr>
      <w:r w:rsidRPr="001638C7">
        <w:rPr>
          <w:sz w:val="36"/>
          <w:szCs w:val="36"/>
        </w:rPr>
        <w:t xml:space="preserve">The effects associated with LSD use are unpredictable and depend on the amount taken, the surroundings in which the drug is used, and the user’s personality, mood, and expectations. </w:t>
      </w:r>
    </w:p>
    <w:p w14:paraId="74AEEC68" w14:textId="77777777" w:rsidR="001638C7" w:rsidRPr="001638C7" w:rsidRDefault="001638C7" w:rsidP="001638C7">
      <w:pPr>
        <w:ind w:left="720"/>
        <w:rPr>
          <w:sz w:val="36"/>
          <w:szCs w:val="36"/>
        </w:rPr>
      </w:pPr>
    </w:p>
    <w:p w14:paraId="75B04565" w14:textId="09369A7C" w:rsidR="001638C7" w:rsidRPr="001638C7" w:rsidRDefault="001638C7" w:rsidP="001638C7">
      <w:pPr>
        <w:numPr>
          <w:ilvl w:val="0"/>
          <w:numId w:val="4"/>
        </w:numPr>
        <w:rPr>
          <w:sz w:val="36"/>
          <w:szCs w:val="36"/>
        </w:rPr>
      </w:pPr>
      <w:r w:rsidRPr="001638C7">
        <w:rPr>
          <w:sz w:val="36"/>
          <w:szCs w:val="36"/>
        </w:rPr>
        <w:t xml:space="preserve">LSD users may develop a tolerance to the drug meaning that they must consume progressively larger dose of the drug to continue to experience the hallucinogenic effects that they seek. </w:t>
      </w:r>
    </w:p>
    <w:p w14:paraId="06631806" w14:textId="77777777" w:rsidR="001638C7" w:rsidRPr="001638C7" w:rsidRDefault="001638C7" w:rsidP="001638C7">
      <w:pPr>
        <w:ind w:left="720"/>
        <w:rPr>
          <w:sz w:val="36"/>
          <w:szCs w:val="36"/>
        </w:rPr>
      </w:pPr>
    </w:p>
    <w:p w14:paraId="229D5A0D" w14:textId="333773EC" w:rsidR="001638C7" w:rsidRDefault="001638C7" w:rsidP="001638C7">
      <w:pPr>
        <w:numPr>
          <w:ilvl w:val="0"/>
          <w:numId w:val="4"/>
        </w:numPr>
        <w:rPr>
          <w:sz w:val="36"/>
          <w:szCs w:val="36"/>
        </w:rPr>
      </w:pPr>
      <w:r w:rsidRPr="001638C7">
        <w:rPr>
          <w:sz w:val="36"/>
          <w:szCs w:val="36"/>
        </w:rPr>
        <w:t>Survey on Drug Abuse indicate that an estimated 20.2 million U.S. residents aged 12 and older used LSD at least once in their lifetime.</w:t>
      </w:r>
    </w:p>
    <w:p w14:paraId="252A6476" w14:textId="77777777" w:rsidR="001638C7" w:rsidRDefault="001638C7" w:rsidP="001638C7">
      <w:pPr>
        <w:pStyle w:val="ListParagraph"/>
        <w:rPr>
          <w:sz w:val="36"/>
          <w:szCs w:val="36"/>
        </w:rPr>
      </w:pPr>
    </w:p>
    <w:p w14:paraId="2C892A59" w14:textId="2DDE2E8C" w:rsidR="001638C7" w:rsidRPr="001638C7" w:rsidRDefault="001638C7" w:rsidP="001638C7">
      <w:pPr>
        <w:pStyle w:val="ListParagraph"/>
        <w:numPr>
          <w:ilvl w:val="0"/>
          <w:numId w:val="4"/>
        </w:numPr>
        <w:rPr>
          <w:sz w:val="36"/>
          <w:szCs w:val="36"/>
        </w:rPr>
      </w:pPr>
      <w:r w:rsidRPr="001638C7">
        <w:rPr>
          <w:sz w:val="36"/>
          <w:szCs w:val="36"/>
        </w:rPr>
        <w:t>ARS 13-3407 Possession or use of a dangerous drug could result in fines and/or jail time.</w:t>
      </w:r>
    </w:p>
    <w:p w14:paraId="206B4924" w14:textId="77777777" w:rsidR="001638C7" w:rsidRDefault="001638C7" w:rsidP="001638C7">
      <w:pPr>
        <w:pStyle w:val="ListParagraph"/>
        <w:rPr>
          <w:sz w:val="36"/>
          <w:szCs w:val="36"/>
        </w:rPr>
      </w:pPr>
    </w:p>
    <w:p w14:paraId="54EB654D" w14:textId="77777777" w:rsidR="0029278C" w:rsidRDefault="0029278C" w:rsidP="001638C7">
      <w:pPr>
        <w:pStyle w:val="ListParagraph"/>
        <w:rPr>
          <w:sz w:val="36"/>
          <w:szCs w:val="36"/>
        </w:rPr>
      </w:pPr>
    </w:p>
    <w:p w14:paraId="65FFFFFF" w14:textId="77777777" w:rsidR="0029278C" w:rsidRDefault="0029278C" w:rsidP="001638C7">
      <w:pPr>
        <w:pStyle w:val="ListParagraph"/>
        <w:rPr>
          <w:sz w:val="36"/>
          <w:szCs w:val="36"/>
        </w:rPr>
      </w:pPr>
    </w:p>
    <w:p w14:paraId="32E9EF48" w14:textId="7166EF96" w:rsidR="001638C7" w:rsidRPr="001638C7" w:rsidRDefault="001638C7" w:rsidP="001638C7">
      <w:pPr>
        <w:pStyle w:val="ListParagraph"/>
        <w:numPr>
          <w:ilvl w:val="0"/>
          <w:numId w:val="4"/>
        </w:numPr>
        <w:rPr>
          <w:sz w:val="36"/>
          <w:szCs w:val="36"/>
        </w:rPr>
      </w:pPr>
      <w:r w:rsidRPr="001638C7">
        <w:rPr>
          <w:sz w:val="36"/>
          <w:szCs w:val="36"/>
        </w:rPr>
        <w:lastRenderedPageBreak/>
        <w:t xml:space="preserve">Possession of the dangerous drugs LSD or psilocybin is a class 4 felony for which one can face up to 3.75 years in prison or face a maximum probation term of four years. This statute covers possession, use, home cultivation, and sharing/gifting. </w:t>
      </w:r>
    </w:p>
    <w:p w14:paraId="573AB637" w14:textId="77777777" w:rsidR="001638C7" w:rsidRPr="001638C7" w:rsidRDefault="001638C7" w:rsidP="0029278C">
      <w:pPr>
        <w:rPr>
          <w:sz w:val="36"/>
          <w:szCs w:val="36"/>
        </w:rPr>
      </w:pPr>
    </w:p>
    <w:p w14:paraId="6416BD94" w14:textId="321F004F" w:rsidR="001638C7" w:rsidRPr="001638C7" w:rsidRDefault="001638C7" w:rsidP="001638C7">
      <w:pPr>
        <w:pStyle w:val="ListParagraph"/>
        <w:numPr>
          <w:ilvl w:val="0"/>
          <w:numId w:val="4"/>
        </w:numPr>
        <w:rPr>
          <w:sz w:val="36"/>
          <w:szCs w:val="36"/>
        </w:rPr>
      </w:pPr>
      <w:r w:rsidRPr="001638C7">
        <w:rPr>
          <w:sz w:val="36"/>
          <w:szCs w:val="36"/>
        </w:rPr>
        <w:t>Psilocybin is part of a group of drugs called psychedelics—or hallucinogens—that have the potential to change a person’s sense of reality, leading them to see, hear, and feel things that are not happening in real life, or to experience reality in a different way.</w:t>
      </w:r>
    </w:p>
    <w:p w14:paraId="5773D4CB" w14:textId="77777777" w:rsidR="001638C7" w:rsidRPr="001638C7" w:rsidRDefault="001638C7" w:rsidP="001638C7">
      <w:pPr>
        <w:rPr>
          <w:sz w:val="36"/>
          <w:szCs w:val="36"/>
        </w:rPr>
      </w:pPr>
    </w:p>
    <w:p w14:paraId="7A25188F" w14:textId="77690F0B" w:rsidR="001638C7" w:rsidRDefault="001638C7" w:rsidP="001638C7">
      <w:pPr>
        <w:pStyle w:val="ListParagraph"/>
        <w:numPr>
          <w:ilvl w:val="0"/>
          <w:numId w:val="10"/>
        </w:numPr>
        <w:rPr>
          <w:sz w:val="36"/>
          <w:szCs w:val="36"/>
        </w:rPr>
      </w:pPr>
      <w:r w:rsidRPr="001638C7">
        <w:rPr>
          <w:sz w:val="36"/>
          <w:szCs w:val="36"/>
        </w:rPr>
        <w:t xml:space="preserve">When a person takes psilocybin, their body converts it to another substance, psilocin. Psilocin attaches to and activates receptors, or binding sites, for the brain chemical serotonin. </w:t>
      </w:r>
    </w:p>
    <w:p w14:paraId="2A302941" w14:textId="77777777" w:rsidR="0029278C" w:rsidRDefault="0029278C" w:rsidP="0029278C">
      <w:pPr>
        <w:pStyle w:val="ListParagraph"/>
        <w:rPr>
          <w:sz w:val="36"/>
          <w:szCs w:val="36"/>
        </w:rPr>
      </w:pPr>
    </w:p>
    <w:p w14:paraId="1C7AF08C" w14:textId="77777777" w:rsidR="0029278C" w:rsidRPr="001638C7" w:rsidRDefault="0029278C" w:rsidP="0029278C">
      <w:pPr>
        <w:pStyle w:val="ListParagraph"/>
        <w:numPr>
          <w:ilvl w:val="0"/>
          <w:numId w:val="10"/>
        </w:numPr>
        <w:rPr>
          <w:sz w:val="36"/>
          <w:szCs w:val="36"/>
        </w:rPr>
      </w:pPr>
      <w:r w:rsidRPr="001638C7">
        <w:rPr>
          <w:sz w:val="36"/>
          <w:szCs w:val="36"/>
        </w:rPr>
        <w:t xml:space="preserve">Psilocybin typically raises blood pressure and heart rate, which may be dangerous for people with heart conditions. </w:t>
      </w:r>
    </w:p>
    <w:p w14:paraId="1E780CD4" w14:textId="77777777" w:rsidR="001638C7" w:rsidRPr="001638C7" w:rsidRDefault="001638C7" w:rsidP="001638C7">
      <w:pPr>
        <w:pStyle w:val="ListParagraph"/>
        <w:rPr>
          <w:sz w:val="36"/>
          <w:szCs w:val="36"/>
        </w:rPr>
      </w:pPr>
    </w:p>
    <w:p w14:paraId="114F3B50" w14:textId="77777777" w:rsidR="005F0980" w:rsidRDefault="005F0980" w:rsidP="005F0980">
      <w:pPr>
        <w:pStyle w:val="ListParagraph"/>
        <w:rPr>
          <w:sz w:val="36"/>
          <w:szCs w:val="36"/>
        </w:rPr>
      </w:pPr>
    </w:p>
    <w:p w14:paraId="3F412EB7" w14:textId="150238F1" w:rsidR="001638C7" w:rsidRDefault="001638C7" w:rsidP="001638C7">
      <w:pPr>
        <w:pStyle w:val="ListParagraph"/>
        <w:numPr>
          <w:ilvl w:val="0"/>
          <w:numId w:val="9"/>
        </w:numPr>
        <w:rPr>
          <w:sz w:val="36"/>
          <w:szCs w:val="36"/>
        </w:rPr>
      </w:pPr>
      <w:r w:rsidRPr="001638C7">
        <w:rPr>
          <w:sz w:val="36"/>
          <w:szCs w:val="36"/>
        </w:rPr>
        <w:t xml:space="preserve">Studies show there are health risks associated with taking psilocybin, particularly when unsupervised and outside of a research study and clinical supervision like driving dangerously or walking in traffic, as they may be less aware of their physical surroundings and have an impairment in their ability to think clearly. </w:t>
      </w:r>
    </w:p>
    <w:p w14:paraId="4DD21EAF" w14:textId="77777777" w:rsidR="0029278C" w:rsidRPr="0029278C" w:rsidRDefault="0029278C" w:rsidP="0029278C">
      <w:pPr>
        <w:pStyle w:val="ListParagraph"/>
        <w:rPr>
          <w:sz w:val="36"/>
          <w:szCs w:val="36"/>
        </w:rPr>
      </w:pPr>
    </w:p>
    <w:p w14:paraId="580A15A2" w14:textId="5C96E941" w:rsidR="001638C7" w:rsidRDefault="001638C7" w:rsidP="001638C7">
      <w:pPr>
        <w:pStyle w:val="ListParagraph"/>
        <w:numPr>
          <w:ilvl w:val="0"/>
          <w:numId w:val="7"/>
        </w:numPr>
        <w:rPr>
          <w:sz w:val="36"/>
          <w:szCs w:val="36"/>
        </w:rPr>
      </w:pPr>
      <w:r w:rsidRPr="001638C7">
        <w:rPr>
          <w:sz w:val="36"/>
          <w:szCs w:val="36"/>
        </w:rPr>
        <w:t xml:space="preserve">People may also experience side effects like agitation, confusion, vomiting or nausea, which may be severe and require medical attention. </w:t>
      </w:r>
    </w:p>
    <w:p w14:paraId="6A2FC192" w14:textId="77777777" w:rsidR="001638C7" w:rsidRPr="001638C7" w:rsidRDefault="001638C7" w:rsidP="001638C7">
      <w:pPr>
        <w:pStyle w:val="ListParagraph"/>
        <w:rPr>
          <w:sz w:val="36"/>
          <w:szCs w:val="36"/>
        </w:rPr>
      </w:pPr>
    </w:p>
    <w:p w14:paraId="3D9EE91B" w14:textId="3923E473" w:rsidR="00336C1B" w:rsidRDefault="001638C7" w:rsidP="001638C7">
      <w:pPr>
        <w:pStyle w:val="ListParagraph"/>
        <w:numPr>
          <w:ilvl w:val="0"/>
          <w:numId w:val="6"/>
        </w:numPr>
        <w:rPr>
          <w:sz w:val="36"/>
          <w:szCs w:val="36"/>
        </w:rPr>
      </w:pPr>
      <w:r w:rsidRPr="001638C7">
        <w:rPr>
          <w:sz w:val="36"/>
          <w:szCs w:val="36"/>
        </w:rPr>
        <w:t>There is also the risk of misidentifying mushrooms and taking a toxic mushroom instead of one containing psilocybin.</w:t>
      </w:r>
      <w:proofErr w:type="gramStart"/>
      <w:r w:rsidRPr="001638C7">
        <w:rPr>
          <w:sz w:val="36"/>
          <w:szCs w:val="36"/>
        </w:rPr>
        <w:t>16  According</w:t>
      </w:r>
      <w:proofErr w:type="gramEnd"/>
      <w:r w:rsidRPr="001638C7">
        <w:rPr>
          <w:sz w:val="36"/>
          <w:szCs w:val="36"/>
        </w:rPr>
        <w:t xml:space="preserve"> to the U.S. Centers for Disease Controls and Prevention (CDC), some commercial products such as candies marketed as containing psilocybin have also been found to contain toxic chemicals and have caused severe illness. </w:t>
      </w:r>
    </w:p>
    <w:p w14:paraId="40800C19" w14:textId="77777777" w:rsidR="001638C7" w:rsidRDefault="001638C7" w:rsidP="001638C7">
      <w:pPr>
        <w:pStyle w:val="ListParagraph"/>
        <w:rPr>
          <w:sz w:val="36"/>
          <w:szCs w:val="36"/>
        </w:rPr>
      </w:pPr>
    </w:p>
    <w:p w14:paraId="2048C075" w14:textId="77777777" w:rsidR="0029278C" w:rsidRDefault="0029278C" w:rsidP="001638C7">
      <w:pPr>
        <w:pStyle w:val="ListParagraph"/>
        <w:rPr>
          <w:sz w:val="36"/>
          <w:szCs w:val="36"/>
        </w:rPr>
      </w:pPr>
    </w:p>
    <w:p w14:paraId="624DDF9D" w14:textId="77777777" w:rsidR="005F0980" w:rsidRPr="001638C7" w:rsidRDefault="005F0980" w:rsidP="001638C7">
      <w:pPr>
        <w:pStyle w:val="ListParagraph"/>
        <w:rPr>
          <w:sz w:val="36"/>
          <w:szCs w:val="36"/>
        </w:rPr>
      </w:pPr>
    </w:p>
    <w:p w14:paraId="672D6918" w14:textId="77777777" w:rsidR="005F0980" w:rsidRDefault="005F0980" w:rsidP="005F0980">
      <w:pPr>
        <w:pStyle w:val="ListParagraph"/>
        <w:rPr>
          <w:sz w:val="36"/>
          <w:szCs w:val="36"/>
        </w:rPr>
      </w:pPr>
    </w:p>
    <w:p w14:paraId="41791784" w14:textId="77777777" w:rsidR="005F0980" w:rsidRDefault="005F0980" w:rsidP="005F0980">
      <w:pPr>
        <w:pStyle w:val="ListParagraph"/>
        <w:rPr>
          <w:sz w:val="36"/>
          <w:szCs w:val="36"/>
        </w:rPr>
      </w:pPr>
    </w:p>
    <w:p w14:paraId="53EF0995" w14:textId="5425995B" w:rsidR="006A33A9" w:rsidRPr="001638C7" w:rsidRDefault="006A33A9" w:rsidP="001638C7">
      <w:pPr>
        <w:pStyle w:val="ListParagraph"/>
        <w:numPr>
          <w:ilvl w:val="0"/>
          <w:numId w:val="5"/>
        </w:numPr>
        <w:rPr>
          <w:sz w:val="36"/>
          <w:szCs w:val="36"/>
        </w:rPr>
      </w:pPr>
      <w:r w:rsidRPr="006A33A9">
        <w:rPr>
          <w:sz w:val="36"/>
          <w:szCs w:val="36"/>
        </w:rPr>
        <w:t xml:space="preserve">Amanita muscaria mushrooms contain the substances </w:t>
      </w:r>
      <w:proofErr w:type="spellStart"/>
      <w:r w:rsidRPr="006A33A9">
        <w:rPr>
          <w:sz w:val="36"/>
          <w:szCs w:val="36"/>
        </w:rPr>
        <w:t>ibotenic</w:t>
      </w:r>
      <w:proofErr w:type="spellEnd"/>
      <w:r w:rsidRPr="006A33A9">
        <w:rPr>
          <w:sz w:val="36"/>
          <w:szCs w:val="36"/>
        </w:rPr>
        <w:t xml:space="preserve"> acid and </w:t>
      </w:r>
      <w:proofErr w:type="spellStart"/>
      <w:r w:rsidRPr="006A33A9">
        <w:rPr>
          <w:sz w:val="36"/>
          <w:szCs w:val="36"/>
        </w:rPr>
        <w:t>muscimol</w:t>
      </w:r>
      <w:proofErr w:type="spellEnd"/>
      <w:r w:rsidRPr="006A33A9">
        <w:rPr>
          <w:sz w:val="36"/>
          <w:szCs w:val="36"/>
        </w:rPr>
        <w:t xml:space="preserve"> (rather than psilocybin and psilocin), causing similar hallucinogenic reactions but may also be fatal. </w:t>
      </w:r>
    </w:p>
    <w:p w14:paraId="144F8DB8" w14:textId="77777777" w:rsidR="006A33A9" w:rsidRPr="006A33A9" w:rsidRDefault="006A33A9" w:rsidP="006A33A9">
      <w:pPr>
        <w:pStyle w:val="ListParagraph"/>
        <w:rPr>
          <w:sz w:val="36"/>
          <w:szCs w:val="36"/>
        </w:rPr>
      </w:pPr>
    </w:p>
    <w:p w14:paraId="4AFC9799" w14:textId="60888537" w:rsidR="006A33A9" w:rsidRPr="006A33A9" w:rsidRDefault="006A33A9" w:rsidP="006A33A9">
      <w:pPr>
        <w:pStyle w:val="ListParagraph"/>
        <w:numPr>
          <w:ilvl w:val="0"/>
          <w:numId w:val="5"/>
        </w:numPr>
        <w:rPr>
          <w:sz w:val="36"/>
          <w:szCs w:val="36"/>
        </w:rPr>
      </w:pPr>
      <w:r w:rsidRPr="006A33A9">
        <w:rPr>
          <w:sz w:val="36"/>
          <w:szCs w:val="36"/>
        </w:rPr>
        <w:t xml:space="preserve">Both LSD and psilocybin can cause visual and auditory hallucinations, including distorted colors, patterns, and enhanced perception of sound and texture. </w:t>
      </w:r>
    </w:p>
    <w:p w14:paraId="752C8071" w14:textId="77777777" w:rsidR="006A33A9" w:rsidRDefault="006A33A9" w:rsidP="006A33A9">
      <w:pPr>
        <w:pStyle w:val="ListParagraph"/>
        <w:rPr>
          <w:sz w:val="36"/>
          <w:szCs w:val="36"/>
        </w:rPr>
      </w:pPr>
    </w:p>
    <w:p w14:paraId="4F196C88" w14:textId="77777777" w:rsidR="006A33A9" w:rsidRDefault="006A33A9" w:rsidP="006A33A9">
      <w:pPr>
        <w:numPr>
          <w:ilvl w:val="0"/>
          <w:numId w:val="4"/>
        </w:numPr>
        <w:rPr>
          <w:sz w:val="36"/>
          <w:szCs w:val="36"/>
        </w:rPr>
      </w:pPr>
      <w:r w:rsidRPr="006A33A9">
        <w:rPr>
          <w:sz w:val="36"/>
          <w:szCs w:val="36"/>
        </w:rPr>
        <w:t>There is a risk of triggering or worsening underlying mental health conditions.</w:t>
      </w:r>
    </w:p>
    <w:p w14:paraId="1D6575F9" w14:textId="77777777" w:rsidR="006A33A9" w:rsidRDefault="006A33A9" w:rsidP="006A33A9">
      <w:pPr>
        <w:pStyle w:val="ListParagraph"/>
        <w:rPr>
          <w:sz w:val="36"/>
          <w:szCs w:val="36"/>
        </w:rPr>
      </w:pPr>
    </w:p>
    <w:p w14:paraId="722325E9" w14:textId="53A5CD10" w:rsidR="006A33A9" w:rsidRDefault="006A33A9" w:rsidP="006A33A9">
      <w:pPr>
        <w:numPr>
          <w:ilvl w:val="0"/>
          <w:numId w:val="4"/>
        </w:numPr>
        <w:rPr>
          <w:sz w:val="36"/>
          <w:szCs w:val="36"/>
        </w:rPr>
      </w:pPr>
      <w:r w:rsidRPr="006A33A9">
        <w:rPr>
          <w:sz w:val="36"/>
          <w:szCs w:val="36"/>
        </w:rPr>
        <w:t xml:space="preserve">Emerging research suggests benefits in treating depression, PTSD, and anxiety, particularly psilocybin, but only under the care of an experienced medical professional. </w:t>
      </w:r>
    </w:p>
    <w:p w14:paraId="497262BD" w14:textId="77777777" w:rsidR="006A33A9" w:rsidRDefault="006A33A9" w:rsidP="006A33A9">
      <w:pPr>
        <w:pStyle w:val="ListParagraph"/>
        <w:rPr>
          <w:sz w:val="36"/>
          <w:szCs w:val="36"/>
        </w:rPr>
      </w:pPr>
    </w:p>
    <w:p w14:paraId="00D2CB86" w14:textId="5D880C87" w:rsidR="005F0980" w:rsidRDefault="006A33A9" w:rsidP="005F0980">
      <w:pPr>
        <w:numPr>
          <w:ilvl w:val="0"/>
          <w:numId w:val="4"/>
        </w:numPr>
        <w:rPr>
          <w:sz w:val="36"/>
          <w:szCs w:val="36"/>
        </w:rPr>
      </w:pPr>
      <w:r w:rsidRPr="006A33A9">
        <w:rPr>
          <w:sz w:val="36"/>
          <w:szCs w:val="36"/>
        </w:rPr>
        <w:t xml:space="preserve">Negative long-term effects are possible flashbacks of Hallucinogen Persisting Perception Disorder (HPPD) </w:t>
      </w:r>
    </w:p>
    <w:p w14:paraId="1D064FCB" w14:textId="77777777" w:rsidR="005F0980" w:rsidRPr="005F0980" w:rsidRDefault="005F0980" w:rsidP="005F0980">
      <w:pPr>
        <w:rPr>
          <w:sz w:val="36"/>
          <w:szCs w:val="36"/>
        </w:rPr>
      </w:pPr>
    </w:p>
    <w:p w14:paraId="11E1E546" w14:textId="552B7633" w:rsidR="005F0980" w:rsidRDefault="005F0980" w:rsidP="005F0980">
      <w:pPr>
        <w:widowControl w:val="0"/>
        <w:autoSpaceDE w:val="0"/>
        <w:autoSpaceDN w:val="0"/>
        <w:adjustRightInd w:val="0"/>
        <w:spacing w:after="0" w:line="240" w:lineRule="auto"/>
        <w:ind w:left="1710" w:hanging="1710"/>
        <w:jc w:val="center"/>
        <w:rPr>
          <w:rFonts w:eastAsia="Calibri" w:cstheme="minorHAnsi"/>
          <w:b/>
          <w:bCs/>
        </w:rPr>
      </w:pPr>
      <w:r>
        <w:rPr>
          <w:rFonts w:eastAsia="Calibri" w:cstheme="minorHAnsi"/>
          <w:b/>
          <w:bCs/>
        </w:rPr>
        <w:lastRenderedPageBreak/>
        <w:t>Sources</w:t>
      </w:r>
    </w:p>
    <w:p w14:paraId="443988CD" w14:textId="77777777" w:rsidR="005F0980" w:rsidRPr="005F0980" w:rsidRDefault="005F0980" w:rsidP="005F0980">
      <w:pPr>
        <w:ind w:left="720"/>
      </w:pPr>
      <w:r w:rsidRPr="005F0980">
        <w:t xml:space="preserve">Bullet point 1 is from </w:t>
      </w:r>
      <w:hyperlink r:id="rId7" w:history="1">
        <w:r w:rsidRPr="005F0980">
          <w:rPr>
            <w:rStyle w:val="Hyperlink"/>
          </w:rPr>
          <w:t>https://www.dea.gov/sites/default/files/2020-06/LSD-2020_0.pdf</w:t>
        </w:r>
      </w:hyperlink>
      <w:r w:rsidRPr="005F0980">
        <w:t xml:space="preserve"> </w:t>
      </w:r>
    </w:p>
    <w:p w14:paraId="13441912" w14:textId="06FD7336" w:rsidR="005F0980" w:rsidRPr="005F0980" w:rsidRDefault="005F0980" w:rsidP="005F0980">
      <w:pPr>
        <w:ind w:left="720"/>
      </w:pPr>
      <w:r w:rsidRPr="005F0980">
        <w:t xml:space="preserve">Bullet points 2-6 are from </w:t>
      </w:r>
      <w:hyperlink r:id="rId8" w:history="1">
        <w:r w:rsidRPr="005F0980">
          <w:rPr>
            <w:rStyle w:val="Hyperlink"/>
          </w:rPr>
          <w:t>LSD Fast Facts</w:t>
        </w:r>
      </w:hyperlink>
    </w:p>
    <w:p w14:paraId="11E940B9" w14:textId="31E4BF92" w:rsidR="005F0980" w:rsidRPr="005F0980" w:rsidRDefault="005F0980" w:rsidP="005F0980">
      <w:pPr>
        <w:ind w:left="720"/>
      </w:pPr>
      <w:bookmarkStart w:id="1" w:name="_Hlk183505541"/>
      <w:r w:rsidRPr="005F0980">
        <w:t xml:space="preserve">Bullet points </w:t>
      </w:r>
      <w:bookmarkEnd w:id="1"/>
      <w:r w:rsidRPr="005F0980">
        <w:t xml:space="preserve">7-8 </w:t>
      </w:r>
      <w:bookmarkStart w:id="2" w:name="_Hlk183505556"/>
      <w:r w:rsidRPr="005F0980">
        <w:t xml:space="preserve">are from </w:t>
      </w:r>
      <w:bookmarkEnd w:id="2"/>
      <w:r w:rsidRPr="005F0980">
        <w:t>Arizona Revised Statutes</w:t>
      </w:r>
    </w:p>
    <w:p w14:paraId="3C64BA8C" w14:textId="779BCEAD" w:rsidR="005F0980" w:rsidRPr="005F0980" w:rsidRDefault="005F0980" w:rsidP="005F0980">
      <w:pPr>
        <w:ind w:left="720"/>
      </w:pPr>
      <w:r w:rsidRPr="005F0980">
        <w:t xml:space="preserve">Bullet points 9-14 are from </w:t>
      </w:r>
      <w:hyperlink r:id="rId9" w:anchor="psilocybin-in-the-brain" w:history="1">
        <w:r w:rsidRPr="005F0980">
          <w:rPr>
            <w:rStyle w:val="Hyperlink"/>
          </w:rPr>
          <w:t>Psilocybin (Magic Mushrooms) | National Institute on Drug Abuse (NIDA)</w:t>
        </w:r>
      </w:hyperlink>
    </w:p>
    <w:p w14:paraId="4E34F25B" w14:textId="222359F9" w:rsidR="005F0980" w:rsidRPr="005F0980" w:rsidRDefault="005F0980" w:rsidP="005F0980">
      <w:pPr>
        <w:ind w:left="720"/>
      </w:pPr>
      <w:r w:rsidRPr="005F0980">
        <w:t>Bullet points 15-16 are from Drug I.D. &amp; Symptom Guide 6</w:t>
      </w:r>
      <w:r w:rsidRPr="005F0980">
        <w:rPr>
          <w:vertAlign w:val="superscript"/>
        </w:rPr>
        <w:t>th</w:t>
      </w:r>
      <w:r w:rsidRPr="005F0980">
        <w:t xml:space="preserve"> Edition -</w:t>
      </w:r>
      <w:proofErr w:type="spellStart"/>
      <w:r w:rsidRPr="005F0980">
        <w:t>Lawtech</w:t>
      </w:r>
      <w:proofErr w:type="spellEnd"/>
      <w:r w:rsidRPr="005F0980">
        <w:t xml:space="preserve"> Publishing Group</w:t>
      </w:r>
    </w:p>
    <w:p w14:paraId="6FD664F7" w14:textId="1137C989" w:rsidR="005F0980" w:rsidRPr="005F0980" w:rsidRDefault="005F0980" w:rsidP="005F0980">
      <w:pPr>
        <w:ind w:left="720"/>
      </w:pPr>
      <w:r w:rsidRPr="005F0980">
        <w:t xml:space="preserve">Bullet points 17-19 are from </w:t>
      </w:r>
      <w:hyperlink r:id="rId10" w:history="1">
        <w:r w:rsidRPr="005F0980">
          <w:rPr>
            <w:rStyle w:val="Hyperlink"/>
          </w:rPr>
          <w:t>https://nida.nih.gov/sites/default/files/rrhalluc.pdf</w:t>
        </w:r>
      </w:hyperlink>
      <w:r w:rsidRPr="005F0980">
        <w:rPr>
          <w:rStyle w:val="Hyperlink"/>
        </w:rPr>
        <w:t xml:space="preserve"> </w:t>
      </w:r>
    </w:p>
    <w:p w14:paraId="6C1871CE" w14:textId="4A0BD1E6" w:rsidR="005F0980" w:rsidRPr="006A33A9" w:rsidRDefault="005F0980" w:rsidP="005F0980">
      <w:pPr>
        <w:ind w:left="720"/>
        <w:rPr>
          <w:sz w:val="36"/>
          <w:szCs w:val="36"/>
        </w:rPr>
      </w:pPr>
    </w:p>
    <w:sectPr w:rsidR="005F0980" w:rsidRPr="006A33A9">
      <w:headerReference w:type="default" r:id="rId11"/>
      <w:footerReference w:type="default" r:id="rId12"/>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23DDB698" w14:textId="77777777" w:rsidR="00D06897" w:rsidRDefault="00D06897" w:rsidP="00D06897">
      <w:pPr>
        <w:spacing w:after="0" w:line="240" w:lineRule="auto"/>
      </w:pPr>
      <w:r>
        <w:separator/>
      </w:r>
    </w:p>
  </w:endnote>
  <w:endnote w:type="continuationSeparator" w:id="0">
    <w:p w14:paraId="4693864D" w14:textId="77777777" w:rsidR="00D06897" w:rsidRDefault="00D06897" w:rsidP="00D0689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5EA2E7A" w14:textId="51982ABC" w:rsidR="00D06897" w:rsidRPr="001F3FAB" w:rsidRDefault="00D06897" w:rsidP="00D06897">
    <w:pPr>
      <w:pStyle w:val="Footer"/>
      <w:pBdr>
        <w:top w:val="thinThickSmallGap" w:sz="24" w:space="1" w:color="7F340D" w:themeColor="accent2" w:themeShade="7F"/>
      </w:pBdr>
      <w:rPr>
        <w:rFonts w:eastAsiaTheme="majorEastAsia" w:cstheme="minorHAnsi"/>
      </w:rPr>
    </w:pPr>
    <w:r w:rsidRPr="001F3FAB">
      <w:rPr>
        <w:rFonts w:eastAsiaTheme="majorEastAsia" w:cstheme="minorHAnsi"/>
      </w:rPr>
      <w:t xml:space="preserve">Arizona Foundation for Legal Services and Education                          </w:t>
    </w:r>
    <w:r w:rsidR="00C075A0">
      <w:rPr>
        <w:rFonts w:eastAsiaTheme="majorEastAsia" w:cstheme="minorHAnsi"/>
      </w:rPr>
      <w:t>December</w:t>
    </w:r>
    <w:r>
      <w:rPr>
        <w:rFonts w:eastAsiaTheme="majorEastAsia" w:cstheme="minorHAnsi"/>
      </w:rPr>
      <w:t xml:space="preserve"> 2024</w:t>
    </w:r>
    <w:r w:rsidRPr="001F3FAB">
      <w:rPr>
        <w:rFonts w:eastAsiaTheme="majorEastAsia" w:cstheme="minorHAnsi"/>
      </w:rPr>
      <w:ptab w:relativeTo="margin" w:alignment="right" w:leader="none"/>
    </w:r>
    <w:r w:rsidRPr="001F3FAB">
      <w:rPr>
        <w:rFonts w:eastAsiaTheme="majorEastAsia" w:cstheme="minorHAnsi"/>
      </w:rPr>
      <w:t xml:space="preserve">Page </w:t>
    </w:r>
    <w:r w:rsidRPr="001F3FAB">
      <w:rPr>
        <w:rFonts w:eastAsiaTheme="minorEastAsia" w:cstheme="minorHAnsi"/>
      </w:rPr>
      <w:fldChar w:fldCharType="begin"/>
    </w:r>
    <w:r w:rsidRPr="001F3FAB">
      <w:rPr>
        <w:rFonts w:cstheme="minorHAnsi"/>
      </w:rPr>
      <w:instrText xml:space="preserve"> PAGE   \* MERGEFORMAT </w:instrText>
    </w:r>
    <w:r w:rsidRPr="001F3FAB">
      <w:rPr>
        <w:rFonts w:eastAsiaTheme="minorEastAsia" w:cstheme="minorHAnsi"/>
      </w:rPr>
      <w:fldChar w:fldCharType="separate"/>
    </w:r>
    <w:r>
      <w:rPr>
        <w:rFonts w:eastAsiaTheme="minorEastAsia" w:cstheme="minorHAnsi"/>
      </w:rPr>
      <w:t>1</w:t>
    </w:r>
    <w:r w:rsidRPr="001F3FAB">
      <w:rPr>
        <w:rFonts w:eastAsiaTheme="majorEastAsia" w:cstheme="minorHAnsi"/>
        <w:noProof/>
      </w:rPr>
      <w:fldChar w:fldCharType="end"/>
    </w:r>
  </w:p>
  <w:p w14:paraId="3A80497A" w14:textId="77777777" w:rsidR="00D06897" w:rsidRDefault="00D0689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34C3D721" w14:textId="77777777" w:rsidR="00D06897" w:rsidRDefault="00D06897" w:rsidP="00D06897">
      <w:pPr>
        <w:spacing w:after="0" w:line="240" w:lineRule="auto"/>
      </w:pPr>
      <w:r>
        <w:separator/>
      </w:r>
    </w:p>
  </w:footnote>
  <w:footnote w:type="continuationSeparator" w:id="0">
    <w:p w14:paraId="52E83BB7" w14:textId="77777777" w:rsidR="00D06897" w:rsidRDefault="00D06897" w:rsidP="00D0689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F23A82A" w14:textId="3AEDB7D1" w:rsidR="00D06897" w:rsidRPr="007E3F3C" w:rsidRDefault="00D06897" w:rsidP="007E3F3C">
    <w:pPr>
      <w:jc w:val="center"/>
    </w:pPr>
    <w:r w:rsidRPr="00DC7F18">
      <w:rPr>
        <w:rFonts w:cs="Tahoma"/>
        <w:b/>
        <w:noProof/>
      </w:rPr>
      <w:drawing>
        <wp:inline distT="0" distB="0" distL="0" distR="0" wp14:anchorId="5E4A7239" wp14:editId="690CDB48">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D5063B7"/>
    <w:multiLevelType w:val="hybridMultilevel"/>
    <w:tmpl w:val="4FE6820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311B1477"/>
    <w:multiLevelType w:val="hybridMultilevel"/>
    <w:tmpl w:val="91CCCF8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365A55C2"/>
    <w:multiLevelType w:val="hybridMultilevel"/>
    <w:tmpl w:val="9FD2B9B6"/>
    <w:lvl w:ilvl="0" w:tplc="E5FEC002">
      <w:start w:val="1"/>
      <w:numFmt w:val="decimal"/>
      <w:lvlText w:val="%1."/>
      <w:lvlJc w:val="left"/>
      <w:pPr>
        <w:ind w:left="720" w:hanging="360"/>
      </w:pPr>
      <w:rPr>
        <w:rFonts w:ascii="Calibri" w:eastAsia="Calibri" w:hAnsi="Calibri" w:cs="Calibri" w:hint="default"/>
        <w:b/>
        <w:color w:val="00000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36FB72D2"/>
    <w:multiLevelType w:val="hybridMultilevel"/>
    <w:tmpl w:val="8356E42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39C04A92"/>
    <w:multiLevelType w:val="hybridMultilevel"/>
    <w:tmpl w:val="E94CB1F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39ED6808"/>
    <w:multiLevelType w:val="hybridMultilevel"/>
    <w:tmpl w:val="A39E602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6" w15:restartNumberingAfterBreak="0">
    <w:nsid w:val="5ACF74B4"/>
    <w:multiLevelType w:val="hybridMultilevel"/>
    <w:tmpl w:val="78802AA4"/>
    <w:lvl w:ilvl="0" w:tplc="A4D040B2">
      <w:start w:val="1"/>
      <w:numFmt w:val="decimal"/>
      <w:lvlText w:val="%1."/>
      <w:lvlJc w:val="left"/>
      <w:pPr>
        <w:ind w:left="1800" w:hanging="360"/>
      </w:pPr>
      <w:rPr>
        <w:rFonts w:ascii="Calibri" w:eastAsia="Calibri" w:hAnsi="Calibri" w:cs="Calibri" w:hint="default"/>
        <w:b/>
        <w:color w:val="000000"/>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7" w15:restartNumberingAfterBreak="0">
    <w:nsid w:val="673657C6"/>
    <w:multiLevelType w:val="hybridMultilevel"/>
    <w:tmpl w:val="3CAC09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74E13311"/>
    <w:multiLevelType w:val="hybridMultilevel"/>
    <w:tmpl w:val="8A684D7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1135021461">
    <w:abstractNumId w:val="3"/>
  </w:num>
  <w:num w:numId="2" w16cid:durableId="572008475">
    <w:abstractNumId w:val="6"/>
  </w:num>
  <w:num w:numId="3" w16cid:durableId="792596012">
    <w:abstractNumId w:val="2"/>
  </w:num>
  <w:num w:numId="4" w16cid:durableId="1216115251">
    <w:abstractNumId w:val="5"/>
  </w:num>
  <w:num w:numId="5" w16cid:durableId="237598136">
    <w:abstractNumId w:val="5"/>
  </w:num>
  <w:num w:numId="6" w16cid:durableId="129372176">
    <w:abstractNumId w:val="8"/>
  </w:num>
  <w:num w:numId="7" w16cid:durableId="1206522081">
    <w:abstractNumId w:val="4"/>
  </w:num>
  <w:num w:numId="8" w16cid:durableId="352726762">
    <w:abstractNumId w:val="0"/>
  </w:num>
  <w:num w:numId="9" w16cid:durableId="2119524731">
    <w:abstractNumId w:val="7"/>
  </w:num>
  <w:num w:numId="10" w16cid:durableId="1407335779">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5649D"/>
    <w:rsid w:val="000B0EDD"/>
    <w:rsid w:val="000B6682"/>
    <w:rsid w:val="000E7E86"/>
    <w:rsid w:val="00104D05"/>
    <w:rsid w:val="001638C7"/>
    <w:rsid w:val="001F31E7"/>
    <w:rsid w:val="0029278C"/>
    <w:rsid w:val="002B16F1"/>
    <w:rsid w:val="003128E4"/>
    <w:rsid w:val="00335958"/>
    <w:rsid w:val="00336C1B"/>
    <w:rsid w:val="00361A0E"/>
    <w:rsid w:val="0045649D"/>
    <w:rsid w:val="00471849"/>
    <w:rsid w:val="004A074E"/>
    <w:rsid w:val="00572A43"/>
    <w:rsid w:val="005E2E6B"/>
    <w:rsid w:val="005F0980"/>
    <w:rsid w:val="005F44CC"/>
    <w:rsid w:val="005F7B4D"/>
    <w:rsid w:val="00644417"/>
    <w:rsid w:val="006A33A9"/>
    <w:rsid w:val="006F6A37"/>
    <w:rsid w:val="007D7366"/>
    <w:rsid w:val="007E3F3C"/>
    <w:rsid w:val="009165C7"/>
    <w:rsid w:val="009B231F"/>
    <w:rsid w:val="009C7C1B"/>
    <w:rsid w:val="00A84DC2"/>
    <w:rsid w:val="00B57EAB"/>
    <w:rsid w:val="00B904D0"/>
    <w:rsid w:val="00C075A0"/>
    <w:rsid w:val="00D06897"/>
    <w:rsid w:val="00F70056"/>
    <w:rsid w:val="00F90C9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3B60EDE"/>
  <w15:chartTrackingRefBased/>
  <w15:docId w15:val="{945CBBDB-13A7-4E00-A59B-76DA75C5BEA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45649D"/>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45649D"/>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45649D"/>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45649D"/>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45649D"/>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45649D"/>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45649D"/>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45649D"/>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45649D"/>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45649D"/>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45649D"/>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45649D"/>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45649D"/>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45649D"/>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45649D"/>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45649D"/>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45649D"/>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45649D"/>
    <w:rPr>
      <w:rFonts w:eastAsiaTheme="majorEastAsia" w:cstheme="majorBidi"/>
      <w:color w:val="272727" w:themeColor="text1" w:themeTint="D8"/>
    </w:rPr>
  </w:style>
  <w:style w:type="paragraph" w:styleId="Title">
    <w:name w:val="Title"/>
    <w:basedOn w:val="Normal"/>
    <w:next w:val="Normal"/>
    <w:link w:val="TitleChar"/>
    <w:uiPriority w:val="10"/>
    <w:qFormat/>
    <w:rsid w:val="0045649D"/>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45649D"/>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45649D"/>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45649D"/>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45649D"/>
    <w:pPr>
      <w:spacing w:before="160"/>
      <w:jc w:val="center"/>
    </w:pPr>
    <w:rPr>
      <w:i/>
      <w:iCs/>
      <w:color w:val="404040" w:themeColor="text1" w:themeTint="BF"/>
    </w:rPr>
  </w:style>
  <w:style w:type="character" w:customStyle="1" w:styleId="QuoteChar">
    <w:name w:val="Quote Char"/>
    <w:basedOn w:val="DefaultParagraphFont"/>
    <w:link w:val="Quote"/>
    <w:uiPriority w:val="29"/>
    <w:rsid w:val="0045649D"/>
    <w:rPr>
      <w:i/>
      <w:iCs/>
      <w:color w:val="404040" w:themeColor="text1" w:themeTint="BF"/>
    </w:rPr>
  </w:style>
  <w:style w:type="paragraph" w:styleId="ListParagraph">
    <w:name w:val="List Paragraph"/>
    <w:basedOn w:val="Normal"/>
    <w:uiPriority w:val="34"/>
    <w:qFormat/>
    <w:rsid w:val="0045649D"/>
    <w:pPr>
      <w:ind w:left="720"/>
      <w:contextualSpacing/>
    </w:pPr>
  </w:style>
  <w:style w:type="character" w:styleId="IntenseEmphasis">
    <w:name w:val="Intense Emphasis"/>
    <w:basedOn w:val="DefaultParagraphFont"/>
    <w:uiPriority w:val="21"/>
    <w:qFormat/>
    <w:rsid w:val="0045649D"/>
    <w:rPr>
      <w:i/>
      <w:iCs/>
      <w:color w:val="0F4761" w:themeColor="accent1" w:themeShade="BF"/>
    </w:rPr>
  </w:style>
  <w:style w:type="paragraph" w:styleId="IntenseQuote">
    <w:name w:val="Intense Quote"/>
    <w:basedOn w:val="Normal"/>
    <w:next w:val="Normal"/>
    <w:link w:val="IntenseQuoteChar"/>
    <w:uiPriority w:val="30"/>
    <w:qFormat/>
    <w:rsid w:val="0045649D"/>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45649D"/>
    <w:rPr>
      <w:i/>
      <w:iCs/>
      <w:color w:val="0F4761" w:themeColor="accent1" w:themeShade="BF"/>
    </w:rPr>
  </w:style>
  <w:style w:type="character" w:styleId="IntenseReference">
    <w:name w:val="Intense Reference"/>
    <w:basedOn w:val="DefaultParagraphFont"/>
    <w:uiPriority w:val="32"/>
    <w:qFormat/>
    <w:rsid w:val="0045649D"/>
    <w:rPr>
      <w:b/>
      <w:bCs/>
      <w:smallCaps/>
      <w:color w:val="0F4761" w:themeColor="accent1" w:themeShade="BF"/>
      <w:spacing w:val="5"/>
    </w:rPr>
  </w:style>
  <w:style w:type="table" w:styleId="TableGrid">
    <w:name w:val="Table Grid"/>
    <w:basedOn w:val="TableNormal"/>
    <w:uiPriority w:val="39"/>
    <w:rsid w:val="00B57EA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D0689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06897"/>
  </w:style>
  <w:style w:type="paragraph" w:styleId="Footer">
    <w:name w:val="footer"/>
    <w:basedOn w:val="Normal"/>
    <w:link w:val="FooterChar"/>
    <w:uiPriority w:val="99"/>
    <w:unhideWhenUsed/>
    <w:rsid w:val="00D0689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06897"/>
  </w:style>
  <w:style w:type="paragraph" w:styleId="NormalWeb">
    <w:name w:val="Normal (Web)"/>
    <w:basedOn w:val="Normal"/>
    <w:uiPriority w:val="99"/>
    <w:unhideWhenUsed/>
    <w:rsid w:val="00C075A0"/>
    <w:pPr>
      <w:spacing w:before="100" w:beforeAutospacing="1" w:after="100" w:afterAutospacing="1" w:line="240" w:lineRule="auto"/>
    </w:pPr>
    <w:rPr>
      <w:rFonts w:ascii="Times New Roman" w:eastAsia="Times New Roman" w:hAnsi="Times New Roman" w:cs="Times New Roman"/>
      <w:kern w:val="0"/>
      <w14:ligatures w14:val="none"/>
    </w:rPr>
  </w:style>
  <w:style w:type="character" w:styleId="Hyperlink">
    <w:name w:val="Hyperlink"/>
    <w:basedOn w:val="DefaultParagraphFont"/>
    <w:uiPriority w:val="99"/>
    <w:unhideWhenUsed/>
    <w:rsid w:val="00336C1B"/>
    <w:rPr>
      <w:color w:val="467886" w:themeColor="hyperlink"/>
      <w:u w:val="single"/>
    </w:rPr>
  </w:style>
  <w:style w:type="character" w:styleId="UnresolvedMention">
    <w:name w:val="Unresolved Mention"/>
    <w:basedOn w:val="DefaultParagraphFont"/>
    <w:uiPriority w:val="99"/>
    <w:semiHidden/>
    <w:unhideWhenUsed/>
    <w:rsid w:val="00336C1B"/>
    <w:rPr>
      <w:color w:val="605E5C"/>
      <w:shd w:val="clear" w:color="auto" w:fill="E1DFDD"/>
    </w:rPr>
  </w:style>
  <w:style w:type="paragraph" w:styleId="Revision">
    <w:name w:val="Revision"/>
    <w:hidden/>
    <w:uiPriority w:val="99"/>
    <w:semiHidden/>
    <w:rsid w:val="006F6A37"/>
    <w:pPr>
      <w:spacing w:after="0" w:line="240" w:lineRule="auto"/>
    </w:pPr>
  </w:style>
  <w:style w:type="character" w:styleId="CommentReference">
    <w:name w:val="annotation reference"/>
    <w:basedOn w:val="DefaultParagraphFont"/>
    <w:uiPriority w:val="99"/>
    <w:semiHidden/>
    <w:unhideWhenUsed/>
    <w:rsid w:val="006F6A37"/>
    <w:rPr>
      <w:sz w:val="16"/>
      <w:szCs w:val="16"/>
    </w:rPr>
  </w:style>
  <w:style w:type="paragraph" w:styleId="CommentText">
    <w:name w:val="annotation text"/>
    <w:basedOn w:val="Normal"/>
    <w:link w:val="CommentTextChar"/>
    <w:uiPriority w:val="99"/>
    <w:unhideWhenUsed/>
    <w:rsid w:val="006F6A37"/>
    <w:pPr>
      <w:spacing w:line="240" w:lineRule="auto"/>
    </w:pPr>
    <w:rPr>
      <w:sz w:val="20"/>
      <w:szCs w:val="20"/>
    </w:rPr>
  </w:style>
  <w:style w:type="character" w:customStyle="1" w:styleId="CommentTextChar">
    <w:name w:val="Comment Text Char"/>
    <w:basedOn w:val="DefaultParagraphFont"/>
    <w:link w:val="CommentText"/>
    <w:uiPriority w:val="99"/>
    <w:rsid w:val="006F6A37"/>
    <w:rPr>
      <w:sz w:val="20"/>
      <w:szCs w:val="20"/>
    </w:rPr>
  </w:style>
  <w:style w:type="paragraph" w:styleId="CommentSubject">
    <w:name w:val="annotation subject"/>
    <w:basedOn w:val="CommentText"/>
    <w:next w:val="CommentText"/>
    <w:link w:val="CommentSubjectChar"/>
    <w:uiPriority w:val="99"/>
    <w:semiHidden/>
    <w:unhideWhenUsed/>
    <w:rsid w:val="006F6A37"/>
    <w:rPr>
      <w:b/>
      <w:bCs/>
    </w:rPr>
  </w:style>
  <w:style w:type="character" w:customStyle="1" w:styleId="CommentSubjectChar">
    <w:name w:val="Comment Subject Char"/>
    <w:basedOn w:val="CommentTextChar"/>
    <w:link w:val="CommentSubject"/>
    <w:uiPriority w:val="99"/>
    <w:semiHidden/>
    <w:rsid w:val="006F6A37"/>
    <w:rPr>
      <w:b/>
      <w:bCs/>
      <w:sz w:val="20"/>
      <w:szCs w:val="20"/>
    </w:rPr>
  </w:style>
  <w:style w:type="paragraph" w:styleId="FootnoteText">
    <w:name w:val="footnote text"/>
    <w:basedOn w:val="Normal"/>
    <w:link w:val="FootnoteTextChar"/>
    <w:uiPriority w:val="99"/>
    <w:semiHidden/>
    <w:unhideWhenUsed/>
    <w:rsid w:val="004A074E"/>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4A074E"/>
    <w:rPr>
      <w:sz w:val="20"/>
      <w:szCs w:val="20"/>
    </w:rPr>
  </w:style>
  <w:style w:type="character" w:styleId="FootnoteReference">
    <w:name w:val="footnote reference"/>
    <w:basedOn w:val="DefaultParagraphFont"/>
    <w:uiPriority w:val="99"/>
    <w:semiHidden/>
    <w:unhideWhenUsed/>
    <w:rsid w:val="004A074E"/>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55128873">
      <w:bodyDiv w:val="1"/>
      <w:marLeft w:val="0"/>
      <w:marRight w:val="0"/>
      <w:marTop w:val="0"/>
      <w:marBottom w:val="0"/>
      <w:divBdr>
        <w:top w:val="none" w:sz="0" w:space="0" w:color="auto"/>
        <w:left w:val="none" w:sz="0" w:space="0" w:color="auto"/>
        <w:bottom w:val="none" w:sz="0" w:space="0" w:color="auto"/>
        <w:right w:val="none" w:sz="0" w:space="0" w:color="auto"/>
      </w:divBdr>
    </w:div>
    <w:div w:id="65301478">
      <w:bodyDiv w:val="1"/>
      <w:marLeft w:val="0"/>
      <w:marRight w:val="0"/>
      <w:marTop w:val="0"/>
      <w:marBottom w:val="0"/>
      <w:divBdr>
        <w:top w:val="none" w:sz="0" w:space="0" w:color="auto"/>
        <w:left w:val="none" w:sz="0" w:space="0" w:color="auto"/>
        <w:bottom w:val="none" w:sz="0" w:space="0" w:color="auto"/>
        <w:right w:val="none" w:sz="0" w:space="0" w:color="auto"/>
      </w:divBdr>
    </w:div>
    <w:div w:id="238297686">
      <w:bodyDiv w:val="1"/>
      <w:marLeft w:val="0"/>
      <w:marRight w:val="0"/>
      <w:marTop w:val="0"/>
      <w:marBottom w:val="0"/>
      <w:divBdr>
        <w:top w:val="none" w:sz="0" w:space="0" w:color="auto"/>
        <w:left w:val="none" w:sz="0" w:space="0" w:color="auto"/>
        <w:bottom w:val="none" w:sz="0" w:space="0" w:color="auto"/>
        <w:right w:val="none" w:sz="0" w:space="0" w:color="auto"/>
      </w:divBdr>
    </w:div>
    <w:div w:id="357703776">
      <w:bodyDiv w:val="1"/>
      <w:marLeft w:val="0"/>
      <w:marRight w:val="0"/>
      <w:marTop w:val="0"/>
      <w:marBottom w:val="0"/>
      <w:divBdr>
        <w:top w:val="none" w:sz="0" w:space="0" w:color="auto"/>
        <w:left w:val="none" w:sz="0" w:space="0" w:color="auto"/>
        <w:bottom w:val="none" w:sz="0" w:space="0" w:color="auto"/>
        <w:right w:val="none" w:sz="0" w:space="0" w:color="auto"/>
      </w:divBdr>
    </w:div>
    <w:div w:id="627777667">
      <w:bodyDiv w:val="1"/>
      <w:marLeft w:val="0"/>
      <w:marRight w:val="0"/>
      <w:marTop w:val="0"/>
      <w:marBottom w:val="0"/>
      <w:divBdr>
        <w:top w:val="none" w:sz="0" w:space="0" w:color="auto"/>
        <w:left w:val="none" w:sz="0" w:space="0" w:color="auto"/>
        <w:bottom w:val="none" w:sz="0" w:space="0" w:color="auto"/>
        <w:right w:val="none" w:sz="0" w:space="0" w:color="auto"/>
      </w:divBdr>
    </w:div>
    <w:div w:id="667565126">
      <w:bodyDiv w:val="1"/>
      <w:marLeft w:val="0"/>
      <w:marRight w:val="0"/>
      <w:marTop w:val="0"/>
      <w:marBottom w:val="0"/>
      <w:divBdr>
        <w:top w:val="none" w:sz="0" w:space="0" w:color="auto"/>
        <w:left w:val="none" w:sz="0" w:space="0" w:color="auto"/>
        <w:bottom w:val="none" w:sz="0" w:space="0" w:color="auto"/>
        <w:right w:val="none" w:sz="0" w:space="0" w:color="auto"/>
      </w:divBdr>
    </w:div>
    <w:div w:id="688529448">
      <w:bodyDiv w:val="1"/>
      <w:marLeft w:val="0"/>
      <w:marRight w:val="0"/>
      <w:marTop w:val="0"/>
      <w:marBottom w:val="0"/>
      <w:divBdr>
        <w:top w:val="none" w:sz="0" w:space="0" w:color="auto"/>
        <w:left w:val="none" w:sz="0" w:space="0" w:color="auto"/>
        <w:bottom w:val="none" w:sz="0" w:space="0" w:color="auto"/>
        <w:right w:val="none" w:sz="0" w:space="0" w:color="auto"/>
      </w:divBdr>
    </w:div>
    <w:div w:id="790049927">
      <w:bodyDiv w:val="1"/>
      <w:marLeft w:val="0"/>
      <w:marRight w:val="0"/>
      <w:marTop w:val="0"/>
      <w:marBottom w:val="0"/>
      <w:divBdr>
        <w:top w:val="none" w:sz="0" w:space="0" w:color="auto"/>
        <w:left w:val="none" w:sz="0" w:space="0" w:color="auto"/>
        <w:bottom w:val="none" w:sz="0" w:space="0" w:color="auto"/>
        <w:right w:val="none" w:sz="0" w:space="0" w:color="auto"/>
      </w:divBdr>
    </w:div>
    <w:div w:id="812916654">
      <w:bodyDiv w:val="1"/>
      <w:marLeft w:val="0"/>
      <w:marRight w:val="0"/>
      <w:marTop w:val="0"/>
      <w:marBottom w:val="0"/>
      <w:divBdr>
        <w:top w:val="none" w:sz="0" w:space="0" w:color="auto"/>
        <w:left w:val="none" w:sz="0" w:space="0" w:color="auto"/>
        <w:bottom w:val="none" w:sz="0" w:space="0" w:color="auto"/>
        <w:right w:val="none" w:sz="0" w:space="0" w:color="auto"/>
      </w:divBdr>
    </w:div>
    <w:div w:id="990912259">
      <w:bodyDiv w:val="1"/>
      <w:marLeft w:val="0"/>
      <w:marRight w:val="0"/>
      <w:marTop w:val="0"/>
      <w:marBottom w:val="0"/>
      <w:divBdr>
        <w:top w:val="none" w:sz="0" w:space="0" w:color="auto"/>
        <w:left w:val="none" w:sz="0" w:space="0" w:color="auto"/>
        <w:bottom w:val="none" w:sz="0" w:space="0" w:color="auto"/>
        <w:right w:val="none" w:sz="0" w:space="0" w:color="auto"/>
      </w:divBdr>
    </w:div>
    <w:div w:id="1065950374">
      <w:bodyDiv w:val="1"/>
      <w:marLeft w:val="0"/>
      <w:marRight w:val="0"/>
      <w:marTop w:val="0"/>
      <w:marBottom w:val="0"/>
      <w:divBdr>
        <w:top w:val="none" w:sz="0" w:space="0" w:color="auto"/>
        <w:left w:val="none" w:sz="0" w:space="0" w:color="auto"/>
        <w:bottom w:val="none" w:sz="0" w:space="0" w:color="auto"/>
        <w:right w:val="none" w:sz="0" w:space="0" w:color="auto"/>
      </w:divBdr>
    </w:div>
    <w:div w:id="1071926675">
      <w:bodyDiv w:val="1"/>
      <w:marLeft w:val="0"/>
      <w:marRight w:val="0"/>
      <w:marTop w:val="0"/>
      <w:marBottom w:val="0"/>
      <w:divBdr>
        <w:top w:val="none" w:sz="0" w:space="0" w:color="auto"/>
        <w:left w:val="none" w:sz="0" w:space="0" w:color="auto"/>
        <w:bottom w:val="none" w:sz="0" w:space="0" w:color="auto"/>
        <w:right w:val="none" w:sz="0" w:space="0" w:color="auto"/>
      </w:divBdr>
    </w:div>
    <w:div w:id="1449156856">
      <w:bodyDiv w:val="1"/>
      <w:marLeft w:val="0"/>
      <w:marRight w:val="0"/>
      <w:marTop w:val="0"/>
      <w:marBottom w:val="0"/>
      <w:divBdr>
        <w:top w:val="none" w:sz="0" w:space="0" w:color="auto"/>
        <w:left w:val="none" w:sz="0" w:space="0" w:color="auto"/>
        <w:bottom w:val="none" w:sz="0" w:space="0" w:color="auto"/>
        <w:right w:val="none" w:sz="0" w:space="0" w:color="auto"/>
      </w:divBdr>
    </w:div>
    <w:div w:id="1450009189">
      <w:bodyDiv w:val="1"/>
      <w:marLeft w:val="0"/>
      <w:marRight w:val="0"/>
      <w:marTop w:val="0"/>
      <w:marBottom w:val="0"/>
      <w:divBdr>
        <w:top w:val="none" w:sz="0" w:space="0" w:color="auto"/>
        <w:left w:val="none" w:sz="0" w:space="0" w:color="auto"/>
        <w:bottom w:val="none" w:sz="0" w:space="0" w:color="auto"/>
        <w:right w:val="none" w:sz="0" w:space="0" w:color="auto"/>
      </w:divBdr>
    </w:div>
    <w:div w:id="1610236470">
      <w:bodyDiv w:val="1"/>
      <w:marLeft w:val="0"/>
      <w:marRight w:val="0"/>
      <w:marTop w:val="0"/>
      <w:marBottom w:val="0"/>
      <w:divBdr>
        <w:top w:val="none" w:sz="0" w:space="0" w:color="auto"/>
        <w:left w:val="none" w:sz="0" w:space="0" w:color="auto"/>
        <w:bottom w:val="none" w:sz="0" w:space="0" w:color="auto"/>
        <w:right w:val="none" w:sz="0" w:space="0" w:color="auto"/>
      </w:divBdr>
    </w:div>
    <w:div w:id="1717971781">
      <w:bodyDiv w:val="1"/>
      <w:marLeft w:val="0"/>
      <w:marRight w:val="0"/>
      <w:marTop w:val="0"/>
      <w:marBottom w:val="0"/>
      <w:divBdr>
        <w:top w:val="none" w:sz="0" w:space="0" w:color="auto"/>
        <w:left w:val="none" w:sz="0" w:space="0" w:color="auto"/>
        <w:bottom w:val="none" w:sz="0" w:space="0" w:color="auto"/>
        <w:right w:val="none" w:sz="0" w:space="0" w:color="auto"/>
      </w:divBdr>
    </w:div>
    <w:div w:id="1738163216">
      <w:bodyDiv w:val="1"/>
      <w:marLeft w:val="0"/>
      <w:marRight w:val="0"/>
      <w:marTop w:val="0"/>
      <w:marBottom w:val="0"/>
      <w:divBdr>
        <w:top w:val="none" w:sz="0" w:space="0" w:color="auto"/>
        <w:left w:val="none" w:sz="0" w:space="0" w:color="auto"/>
        <w:bottom w:val="none" w:sz="0" w:space="0" w:color="auto"/>
        <w:right w:val="none" w:sz="0" w:space="0" w:color="auto"/>
      </w:divBdr>
    </w:div>
    <w:div w:id="21284254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justice.gov/archive/ndic/pubs4/4260/4260p.pdf" TargetMode="Externa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s://www.dea.gov/sites/default/files/2020-06/LSD-2020_0.pdf" TargetMode="External"/><Relationship Id="rId12"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1.xml"/><Relationship Id="rId5" Type="http://schemas.openxmlformats.org/officeDocument/2006/relationships/footnotes" Target="footnotes.xml"/><Relationship Id="rId10" Type="http://schemas.openxmlformats.org/officeDocument/2006/relationships/hyperlink" Target="https://nida.nih.gov/sites/default/files/rrhalluc.pdf" TargetMode="External"/><Relationship Id="rId4" Type="http://schemas.openxmlformats.org/officeDocument/2006/relationships/webSettings" Target="webSettings.xml"/><Relationship Id="rId9" Type="http://schemas.openxmlformats.org/officeDocument/2006/relationships/hyperlink" Target="https://nida.nih.gov/research-topics/psilocybin-magic-mushrooms" TargetMode="Externa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58</TotalTime>
  <Pages>6</Pages>
  <Words>635</Words>
  <Characters>3622</Characters>
  <Application>Microsoft Office Word</Application>
  <DocSecurity>0</DocSecurity>
  <Lines>30</Lines>
  <Paragraphs>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4249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Ashley Cagnetta</dc:creator>
  <cp:keywords/>
  <dc:description/>
  <cp:lastModifiedBy>Jennifer Castro</cp:lastModifiedBy>
  <cp:revision>16</cp:revision>
  <dcterms:created xsi:type="dcterms:W3CDTF">2024-11-18T21:42:00Z</dcterms:created>
  <dcterms:modified xsi:type="dcterms:W3CDTF">2024-11-27T16:54:00Z</dcterms:modified>
</cp:coreProperties>
</file>