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B40607D" w14:textId="4423A5A3" w:rsidR="007E3F3C" w:rsidRPr="00441985" w:rsidRDefault="00CE5F06" w:rsidP="007E3F3C">
      <w:pPr>
        <w:spacing w:after="0" w:line="240" w:lineRule="auto"/>
        <w:jc w:val="center"/>
        <w:rPr>
          <w:rFonts w:eastAsia="Calibri" w:cstheme="minorHAnsi"/>
          <w:b/>
          <w:bCs/>
        </w:rPr>
      </w:pPr>
      <w:bookmarkStart w:id="0" w:name="_Hlk181690839"/>
      <w:r>
        <w:rPr>
          <w:rFonts w:eastAsia="Calibri" w:cstheme="minorHAnsi"/>
          <w:b/>
          <w:bCs/>
        </w:rPr>
        <w:t>Truancy: Understanding and Overcoming Barriers</w:t>
      </w:r>
      <w:r w:rsidR="007E3F3C" w:rsidRPr="00441985">
        <w:rPr>
          <w:rFonts w:eastAsia="Calibri" w:cstheme="minorHAnsi"/>
          <w:b/>
          <w:bCs/>
        </w:rPr>
        <w:t xml:space="preserve"> Academy</w:t>
      </w:r>
    </w:p>
    <w:p w14:paraId="4CB19395" w14:textId="4E661A24" w:rsidR="007E3F3C" w:rsidRDefault="00CE5F06" w:rsidP="007E3F3C">
      <w:pPr>
        <w:widowControl w:val="0"/>
        <w:autoSpaceDE w:val="0"/>
        <w:autoSpaceDN w:val="0"/>
        <w:adjustRightInd w:val="0"/>
        <w:spacing w:after="0" w:line="240" w:lineRule="auto"/>
        <w:ind w:left="1710" w:hanging="1710"/>
        <w:jc w:val="center"/>
        <w:rPr>
          <w:rFonts w:eastAsia="Calibri" w:cstheme="minorHAnsi"/>
          <w:b/>
          <w:bCs/>
        </w:rPr>
      </w:pPr>
      <w:r>
        <w:rPr>
          <w:rFonts w:eastAsia="Calibri" w:cstheme="minorHAnsi"/>
          <w:b/>
          <w:bCs/>
        </w:rPr>
        <w:t>Impact of Absences</w:t>
      </w:r>
      <w:r w:rsidR="007E3F3C" w:rsidRPr="00441985">
        <w:rPr>
          <w:rFonts w:eastAsia="Calibri" w:cstheme="minorHAnsi"/>
          <w:b/>
          <w:bCs/>
        </w:rPr>
        <w:t xml:space="preserve"> Lesson </w:t>
      </w:r>
      <w:bookmarkEnd w:id="0"/>
    </w:p>
    <w:p w14:paraId="3A130EB9" w14:textId="3F9CCE66" w:rsidR="007E3F3C" w:rsidRDefault="00336C1B" w:rsidP="007E3F3C">
      <w:pPr>
        <w:widowControl w:val="0"/>
        <w:autoSpaceDE w:val="0"/>
        <w:autoSpaceDN w:val="0"/>
        <w:adjustRightInd w:val="0"/>
        <w:spacing w:after="0" w:line="240" w:lineRule="auto"/>
        <w:ind w:left="1710" w:hanging="1710"/>
        <w:jc w:val="center"/>
        <w:rPr>
          <w:rFonts w:eastAsia="Calibri" w:cstheme="minorHAnsi"/>
          <w:b/>
          <w:bCs/>
        </w:rPr>
      </w:pPr>
      <w:r>
        <w:rPr>
          <w:rFonts w:eastAsia="Calibri" w:cstheme="minorHAnsi"/>
          <w:b/>
          <w:bCs/>
        </w:rPr>
        <w:t>Each One, Teach One Statements</w:t>
      </w:r>
    </w:p>
    <w:p w14:paraId="6F95F9A1" w14:textId="77777777" w:rsidR="0029278C" w:rsidRDefault="0029278C" w:rsidP="007E3F3C">
      <w:pPr>
        <w:widowControl w:val="0"/>
        <w:autoSpaceDE w:val="0"/>
        <w:autoSpaceDN w:val="0"/>
        <w:adjustRightInd w:val="0"/>
        <w:spacing w:after="0" w:line="240" w:lineRule="auto"/>
        <w:ind w:left="1710" w:hanging="1710"/>
        <w:jc w:val="center"/>
        <w:rPr>
          <w:rFonts w:eastAsia="Calibri" w:cstheme="minorHAnsi"/>
          <w:b/>
          <w:bCs/>
        </w:rPr>
      </w:pPr>
    </w:p>
    <w:p w14:paraId="179A71CF" w14:textId="77777777" w:rsidR="0029278C" w:rsidRDefault="0029278C" w:rsidP="007E3F3C">
      <w:pPr>
        <w:widowControl w:val="0"/>
        <w:autoSpaceDE w:val="0"/>
        <w:autoSpaceDN w:val="0"/>
        <w:adjustRightInd w:val="0"/>
        <w:spacing w:after="0" w:line="240" w:lineRule="auto"/>
        <w:ind w:left="1710" w:hanging="1710"/>
        <w:jc w:val="center"/>
        <w:rPr>
          <w:rFonts w:eastAsia="Calibri" w:cstheme="minorHAnsi"/>
          <w:b/>
          <w:bCs/>
        </w:rPr>
      </w:pPr>
    </w:p>
    <w:p w14:paraId="583A8701" w14:textId="77777777" w:rsidR="007E3F3C" w:rsidRPr="007E3F3C" w:rsidRDefault="007E3F3C" w:rsidP="007E3F3C">
      <w:pPr>
        <w:widowControl w:val="0"/>
        <w:autoSpaceDE w:val="0"/>
        <w:autoSpaceDN w:val="0"/>
        <w:adjustRightInd w:val="0"/>
        <w:spacing w:after="0" w:line="240" w:lineRule="auto"/>
        <w:ind w:left="1710" w:hanging="1710"/>
        <w:jc w:val="center"/>
        <w:rPr>
          <w:rFonts w:eastAsia="Calibri" w:cstheme="minorHAnsi"/>
          <w:b/>
          <w:bCs/>
        </w:rPr>
      </w:pPr>
    </w:p>
    <w:p w14:paraId="1247448E" w14:textId="748B36DB" w:rsidR="00CE5F06" w:rsidRDefault="00CE5F06" w:rsidP="00CE5F06">
      <w:pPr>
        <w:numPr>
          <w:ilvl w:val="0"/>
          <w:numId w:val="4"/>
        </w:numPr>
        <w:rPr>
          <w:sz w:val="36"/>
          <w:szCs w:val="36"/>
        </w:rPr>
      </w:pPr>
      <w:r>
        <w:rPr>
          <w:sz w:val="36"/>
          <w:szCs w:val="36"/>
        </w:rPr>
        <w:t>T</w:t>
      </w:r>
      <w:r w:rsidRPr="00CE5F06">
        <w:rPr>
          <w:sz w:val="36"/>
          <w:szCs w:val="36"/>
        </w:rPr>
        <w:t xml:space="preserve">he number of public-school students who are chronically absent—meaning they miss at least 10 percent of days in a school year, whether excused or unexcused—has nearly doubled, from about 15 percent in the 2018-2019 school year to around 30 percent in 2021-2022. </w:t>
      </w:r>
    </w:p>
    <w:p w14:paraId="1C54B22C" w14:textId="77777777" w:rsidR="00CE5F06" w:rsidRPr="00CE5F06" w:rsidRDefault="00CE5F06" w:rsidP="00CE5F06">
      <w:pPr>
        <w:ind w:left="720"/>
        <w:rPr>
          <w:sz w:val="36"/>
          <w:szCs w:val="36"/>
        </w:rPr>
      </w:pPr>
    </w:p>
    <w:p w14:paraId="531DB62E" w14:textId="269DFD19" w:rsidR="00CE5F06" w:rsidRPr="00CE5F06" w:rsidRDefault="00CE5F06" w:rsidP="00CE5F06">
      <w:pPr>
        <w:numPr>
          <w:ilvl w:val="0"/>
          <w:numId w:val="4"/>
        </w:numPr>
        <w:rPr>
          <w:sz w:val="36"/>
          <w:szCs w:val="36"/>
        </w:rPr>
      </w:pPr>
      <w:r w:rsidRPr="00CE5F06">
        <w:rPr>
          <w:sz w:val="36"/>
          <w:szCs w:val="36"/>
        </w:rPr>
        <w:t xml:space="preserve">Research shows that school absences take a toll on grades and performance on standardized tests. </w:t>
      </w:r>
      <w:r w:rsidRPr="00CE5F06">
        <w:rPr>
          <w:sz w:val="36"/>
          <w:szCs w:val="36"/>
        </w:rPr>
        <w:br/>
      </w:r>
    </w:p>
    <w:p w14:paraId="35E2DE33" w14:textId="78440318" w:rsidR="00CE5F06" w:rsidRDefault="00CE5F06" w:rsidP="00CE5F06">
      <w:pPr>
        <w:numPr>
          <w:ilvl w:val="0"/>
          <w:numId w:val="4"/>
        </w:numPr>
        <w:rPr>
          <w:sz w:val="36"/>
          <w:szCs w:val="36"/>
        </w:rPr>
      </w:pPr>
      <w:r w:rsidRPr="00CE5F06">
        <w:rPr>
          <w:sz w:val="36"/>
          <w:szCs w:val="36"/>
        </w:rPr>
        <w:t xml:space="preserve">Beyond test scores, irregular attendance can be a predictor of high school drop-out, which has been linked to poor labor market prospects, diminished health, and increased involvement in the criminal justice system. </w:t>
      </w:r>
    </w:p>
    <w:p w14:paraId="4681AC9F" w14:textId="77777777" w:rsidR="00CE5F06" w:rsidRDefault="00CE5F06" w:rsidP="00CE5F06">
      <w:pPr>
        <w:rPr>
          <w:sz w:val="36"/>
          <w:szCs w:val="36"/>
        </w:rPr>
      </w:pPr>
    </w:p>
    <w:p w14:paraId="57AB4B31" w14:textId="77777777" w:rsidR="00CE5F06" w:rsidRPr="00CE5F06" w:rsidRDefault="00CE5F06" w:rsidP="00CE5F06">
      <w:pPr>
        <w:rPr>
          <w:sz w:val="36"/>
          <w:szCs w:val="36"/>
        </w:rPr>
      </w:pPr>
    </w:p>
    <w:p w14:paraId="5B731C0C" w14:textId="61706C4B" w:rsidR="00CE5F06" w:rsidRDefault="00CE5F06" w:rsidP="00CE5F06">
      <w:pPr>
        <w:numPr>
          <w:ilvl w:val="0"/>
          <w:numId w:val="4"/>
        </w:numPr>
        <w:rPr>
          <w:sz w:val="36"/>
          <w:szCs w:val="36"/>
        </w:rPr>
      </w:pPr>
      <w:r w:rsidRPr="00CE5F06">
        <w:rPr>
          <w:sz w:val="36"/>
          <w:szCs w:val="36"/>
        </w:rPr>
        <w:lastRenderedPageBreak/>
        <w:t xml:space="preserve">While test scores are not the only important aspect of student success, they provide a measurable early indicator that is predictive of broader long-term outcomes. </w:t>
      </w:r>
    </w:p>
    <w:p w14:paraId="1CAE13FC" w14:textId="77777777" w:rsidR="00CE5F06" w:rsidRPr="00CE5F06" w:rsidRDefault="00CE5F06" w:rsidP="00CE5F06">
      <w:pPr>
        <w:ind w:left="720"/>
        <w:rPr>
          <w:sz w:val="36"/>
          <w:szCs w:val="36"/>
        </w:rPr>
      </w:pPr>
    </w:p>
    <w:p w14:paraId="6A07EA2C" w14:textId="1EF80559" w:rsidR="00CE5F06" w:rsidRPr="00CE5F06" w:rsidRDefault="00CE5F06" w:rsidP="00CE5F06">
      <w:pPr>
        <w:numPr>
          <w:ilvl w:val="0"/>
          <w:numId w:val="4"/>
        </w:numPr>
        <w:rPr>
          <w:sz w:val="36"/>
          <w:szCs w:val="36"/>
        </w:rPr>
      </w:pPr>
      <w:r w:rsidRPr="00CE5F06">
        <w:rPr>
          <w:sz w:val="36"/>
          <w:szCs w:val="36"/>
        </w:rPr>
        <w:t xml:space="preserve">The observed association between absenteeism and test scores is large enough to account for 16-27 percent of the overall test score declines in math, and 36-45 percent of the declines in reading. </w:t>
      </w:r>
      <w:r w:rsidRPr="00CE5F06">
        <w:rPr>
          <w:sz w:val="36"/>
          <w:szCs w:val="36"/>
        </w:rPr>
        <w:br/>
      </w:r>
    </w:p>
    <w:p w14:paraId="4CAF96D1" w14:textId="168B945E" w:rsidR="00CE5F06" w:rsidRPr="00CE5F06" w:rsidRDefault="00CE5F06" w:rsidP="00CE5F06">
      <w:pPr>
        <w:numPr>
          <w:ilvl w:val="0"/>
          <w:numId w:val="4"/>
        </w:numPr>
        <w:rPr>
          <w:sz w:val="36"/>
          <w:szCs w:val="36"/>
        </w:rPr>
      </w:pPr>
      <w:r w:rsidRPr="00CE5F06">
        <w:rPr>
          <w:sz w:val="36"/>
          <w:szCs w:val="36"/>
        </w:rPr>
        <w:t xml:space="preserve">NCES’s School Pulse Panel results show that almost three-quarters of public schools reported (in May of 2022) that chronic absenteeism has increased since before the pandemic. </w:t>
      </w:r>
      <w:r w:rsidRPr="00CE5F06">
        <w:rPr>
          <w:sz w:val="36"/>
          <w:szCs w:val="36"/>
        </w:rPr>
        <w:br/>
      </w:r>
    </w:p>
    <w:p w14:paraId="07399AEF" w14:textId="1817A325" w:rsidR="00CE5F06" w:rsidRPr="00CE5F06" w:rsidRDefault="00CE5F06" w:rsidP="00CE5F06">
      <w:pPr>
        <w:numPr>
          <w:ilvl w:val="0"/>
          <w:numId w:val="4"/>
        </w:numPr>
        <w:rPr>
          <w:sz w:val="36"/>
          <w:szCs w:val="36"/>
        </w:rPr>
      </w:pPr>
      <w:r w:rsidRPr="00CE5F06">
        <w:rPr>
          <w:sz w:val="36"/>
          <w:szCs w:val="36"/>
        </w:rPr>
        <w:t>On average, twenty-two percent of fourth-grade public school students reported being absent 5 days or more in the month preceding the date they took the NAEP assessment—double the percentage in 2019.</w:t>
      </w:r>
      <w:r w:rsidR="00CB4023" w:rsidRPr="00CE5F06">
        <w:rPr>
          <w:sz w:val="36"/>
          <w:szCs w:val="36"/>
        </w:rPr>
        <w:t xml:space="preserve"> </w:t>
      </w:r>
      <w:r w:rsidRPr="00CE5F06">
        <w:rPr>
          <w:sz w:val="36"/>
          <w:szCs w:val="36"/>
        </w:rPr>
        <w:br/>
      </w:r>
    </w:p>
    <w:p w14:paraId="47F96F7B" w14:textId="75E3A71B" w:rsidR="00CE5F06" w:rsidRDefault="00CE5F06" w:rsidP="00CE5F06">
      <w:pPr>
        <w:numPr>
          <w:ilvl w:val="0"/>
          <w:numId w:val="4"/>
        </w:numPr>
        <w:rPr>
          <w:sz w:val="36"/>
          <w:szCs w:val="36"/>
        </w:rPr>
      </w:pPr>
      <w:r w:rsidRPr="00CE5F06">
        <w:rPr>
          <w:sz w:val="36"/>
          <w:szCs w:val="36"/>
        </w:rPr>
        <w:lastRenderedPageBreak/>
        <w:t>Children who are frequently absent from school may experience academic difficulties and are less likely to complete school if no intervention takes place.</w:t>
      </w:r>
    </w:p>
    <w:p w14:paraId="66787FAC" w14:textId="77777777" w:rsidR="00CE5F06" w:rsidRPr="00CE5F06" w:rsidRDefault="00CE5F06" w:rsidP="00CE5F06">
      <w:pPr>
        <w:ind w:left="720"/>
        <w:rPr>
          <w:sz w:val="36"/>
          <w:szCs w:val="36"/>
        </w:rPr>
      </w:pPr>
    </w:p>
    <w:p w14:paraId="4736A56A" w14:textId="67AF0574" w:rsidR="00CE5F06" w:rsidRPr="00CE5F06" w:rsidRDefault="00CE5F06" w:rsidP="00CE5F06">
      <w:pPr>
        <w:numPr>
          <w:ilvl w:val="0"/>
          <w:numId w:val="4"/>
        </w:numPr>
        <w:rPr>
          <w:sz w:val="36"/>
          <w:szCs w:val="36"/>
        </w:rPr>
      </w:pPr>
      <w:r w:rsidRPr="00CE5F06">
        <w:rPr>
          <w:sz w:val="36"/>
          <w:szCs w:val="36"/>
        </w:rPr>
        <w:t xml:space="preserve">Schools can be faced with loss of funds when students miss “count day” and may be at risk for failure to meet state and federal standards for school attendance rates, which can result in </w:t>
      </w:r>
      <w:proofErr w:type="gramStart"/>
      <w:r w:rsidRPr="00CE5F06">
        <w:rPr>
          <w:sz w:val="36"/>
          <w:szCs w:val="36"/>
        </w:rPr>
        <w:t>a number of</w:t>
      </w:r>
      <w:proofErr w:type="gramEnd"/>
      <w:r w:rsidRPr="00CE5F06">
        <w:rPr>
          <w:sz w:val="36"/>
          <w:szCs w:val="36"/>
        </w:rPr>
        <w:t xml:space="preserve"> consequences for schools including turning over operations of the school to the state or private company. </w:t>
      </w:r>
      <w:r w:rsidRPr="00CE5F06">
        <w:rPr>
          <w:sz w:val="36"/>
          <w:szCs w:val="36"/>
        </w:rPr>
        <w:br/>
      </w:r>
    </w:p>
    <w:p w14:paraId="1674A449" w14:textId="5BE01009" w:rsidR="00CE5F06" w:rsidRPr="00CE5F06" w:rsidRDefault="00CE5F06" w:rsidP="00CE5F06">
      <w:pPr>
        <w:numPr>
          <w:ilvl w:val="0"/>
          <w:numId w:val="4"/>
        </w:numPr>
        <w:rPr>
          <w:sz w:val="36"/>
          <w:szCs w:val="36"/>
        </w:rPr>
      </w:pPr>
      <w:r w:rsidRPr="00CE5F06">
        <w:rPr>
          <w:sz w:val="36"/>
          <w:szCs w:val="36"/>
        </w:rPr>
        <w:t xml:space="preserve">Roughly one in four students in the 2022-23 school year remained chronically absent, meaning they missed at least 10% of the school year. </w:t>
      </w:r>
      <w:r w:rsidRPr="00CE5F06">
        <w:rPr>
          <w:sz w:val="36"/>
          <w:szCs w:val="36"/>
        </w:rPr>
        <w:br/>
      </w:r>
    </w:p>
    <w:p w14:paraId="13CF30A8" w14:textId="333B3DB8" w:rsidR="00CE5F06" w:rsidRPr="00CE5F06" w:rsidRDefault="00CE5F06" w:rsidP="00CE5F06">
      <w:pPr>
        <w:numPr>
          <w:ilvl w:val="0"/>
          <w:numId w:val="4"/>
        </w:numPr>
        <w:rPr>
          <w:sz w:val="36"/>
          <w:szCs w:val="36"/>
        </w:rPr>
      </w:pPr>
      <w:r w:rsidRPr="00CE5F06">
        <w:rPr>
          <w:sz w:val="36"/>
          <w:szCs w:val="36"/>
        </w:rPr>
        <w:t>Chronically absent students are at higher risk of illiteracy and eventually dropping out. They also miss the meals, counseling</w:t>
      </w:r>
      <w:r w:rsidR="000C6818">
        <w:rPr>
          <w:sz w:val="36"/>
          <w:szCs w:val="36"/>
        </w:rPr>
        <w:t>,</w:t>
      </w:r>
      <w:r w:rsidRPr="00CE5F06">
        <w:rPr>
          <w:sz w:val="36"/>
          <w:szCs w:val="36"/>
        </w:rPr>
        <w:t xml:space="preserve"> and socialization provided at school. </w:t>
      </w:r>
      <w:r w:rsidRPr="00CE5F06">
        <w:rPr>
          <w:sz w:val="36"/>
          <w:szCs w:val="36"/>
        </w:rPr>
        <w:br/>
      </w:r>
    </w:p>
    <w:p w14:paraId="0E8A4FFC" w14:textId="2F58FEEF" w:rsidR="00CE5F06" w:rsidRPr="00CE5F06" w:rsidRDefault="00CE5F06" w:rsidP="00CE5F06">
      <w:pPr>
        <w:numPr>
          <w:ilvl w:val="0"/>
          <w:numId w:val="4"/>
        </w:numPr>
        <w:rPr>
          <w:sz w:val="36"/>
          <w:szCs w:val="36"/>
        </w:rPr>
      </w:pPr>
      <w:r w:rsidRPr="00CE5F06">
        <w:rPr>
          <w:sz w:val="36"/>
          <w:szCs w:val="36"/>
        </w:rPr>
        <w:lastRenderedPageBreak/>
        <w:t xml:space="preserve">Family Issues: Unstable home environments, parental neglect, or family crises can lead to absenteeism. Students may prioritize familial responsibilities over school attendance. </w:t>
      </w:r>
      <w:r w:rsidRPr="00CE5F06">
        <w:rPr>
          <w:sz w:val="36"/>
          <w:szCs w:val="36"/>
        </w:rPr>
        <w:br/>
      </w:r>
    </w:p>
    <w:p w14:paraId="6B2B3DCD" w14:textId="0438EF78" w:rsidR="00CE5F06" w:rsidRPr="00CE5F06" w:rsidRDefault="00CE5F06" w:rsidP="00CE5F06">
      <w:pPr>
        <w:numPr>
          <w:ilvl w:val="0"/>
          <w:numId w:val="4"/>
        </w:numPr>
        <w:rPr>
          <w:sz w:val="36"/>
          <w:szCs w:val="36"/>
        </w:rPr>
      </w:pPr>
      <w:r w:rsidRPr="00CE5F06">
        <w:rPr>
          <w:sz w:val="36"/>
          <w:szCs w:val="36"/>
        </w:rPr>
        <w:t xml:space="preserve">Lack of Engagement: Students who feel disconnected from the school community or disinterested in academic pursuits are more likely to skip classes. </w:t>
      </w:r>
      <w:r w:rsidRPr="00CE5F06">
        <w:rPr>
          <w:sz w:val="36"/>
          <w:szCs w:val="36"/>
        </w:rPr>
        <w:br/>
      </w:r>
    </w:p>
    <w:p w14:paraId="74EED7B5" w14:textId="17477D80" w:rsidR="00CE5F06" w:rsidRPr="00CE5F06" w:rsidRDefault="00CE5F06" w:rsidP="00CE5F06">
      <w:pPr>
        <w:numPr>
          <w:ilvl w:val="0"/>
          <w:numId w:val="4"/>
        </w:numPr>
        <w:rPr>
          <w:sz w:val="36"/>
          <w:szCs w:val="36"/>
        </w:rPr>
      </w:pPr>
      <w:r w:rsidRPr="00CE5F06">
        <w:rPr>
          <w:sz w:val="36"/>
          <w:szCs w:val="36"/>
        </w:rPr>
        <w:t xml:space="preserve">Lack of Engagement: Students who feel disconnected from the school community or disinterested in academic pursuits are more likely to skip classes. </w:t>
      </w:r>
      <w:r w:rsidRPr="00CE5F06">
        <w:rPr>
          <w:sz w:val="36"/>
          <w:szCs w:val="36"/>
        </w:rPr>
        <w:br/>
      </w:r>
    </w:p>
    <w:p w14:paraId="09D62CE0" w14:textId="2CA6661A" w:rsidR="00CE5F06" w:rsidRPr="00CE5F06" w:rsidRDefault="00CE5F06" w:rsidP="00CE5F06">
      <w:pPr>
        <w:numPr>
          <w:ilvl w:val="0"/>
          <w:numId w:val="4"/>
        </w:numPr>
        <w:rPr>
          <w:sz w:val="36"/>
          <w:szCs w:val="36"/>
        </w:rPr>
      </w:pPr>
      <w:r w:rsidRPr="00CE5F06">
        <w:rPr>
          <w:sz w:val="36"/>
          <w:szCs w:val="36"/>
        </w:rPr>
        <w:t xml:space="preserve">Lack of Engagement: Students who feel disconnected from the school community or disinterested in academic pursuits are more likely to skip classes. </w:t>
      </w:r>
      <w:r w:rsidRPr="00CE5F06">
        <w:rPr>
          <w:sz w:val="36"/>
          <w:szCs w:val="36"/>
        </w:rPr>
        <w:br/>
      </w:r>
    </w:p>
    <w:p w14:paraId="51DA2BC9" w14:textId="067AA07D" w:rsidR="00CB4023" w:rsidRDefault="00CE5F06" w:rsidP="00F222EB">
      <w:pPr>
        <w:numPr>
          <w:ilvl w:val="0"/>
          <w:numId w:val="4"/>
        </w:numPr>
        <w:rPr>
          <w:sz w:val="36"/>
          <w:szCs w:val="36"/>
        </w:rPr>
      </w:pPr>
      <w:r w:rsidRPr="00CB4023">
        <w:rPr>
          <w:sz w:val="36"/>
          <w:szCs w:val="36"/>
        </w:rPr>
        <w:t xml:space="preserve">Lack of Engagement: Students who feel disconnected from the school community or disinterested in academic pursuits are more likely to skip classes. </w:t>
      </w:r>
    </w:p>
    <w:p w14:paraId="75DCE4B8" w14:textId="77777777" w:rsidR="00CB4023" w:rsidRDefault="00CB4023" w:rsidP="00CB4023">
      <w:pPr>
        <w:rPr>
          <w:sz w:val="36"/>
          <w:szCs w:val="36"/>
        </w:rPr>
      </w:pPr>
    </w:p>
    <w:p w14:paraId="1AD9E0B6" w14:textId="77777777" w:rsidR="00CB4023" w:rsidRDefault="00CB4023" w:rsidP="00CB4023">
      <w:pPr>
        <w:widowControl w:val="0"/>
        <w:autoSpaceDE w:val="0"/>
        <w:autoSpaceDN w:val="0"/>
        <w:adjustRightInd w:val="0"/>
        <w:spacing w:after="0" w:line="240" w:lineRule="auto"/>
        <w:ind w:left="1710" w:hanging="1710"/>
        <w:jc w:val="center"/>
        <w:rPr>
          <w:rFonts w:eastAsia="Calibri" w:cstheme="minorHAnsi"/>
          <w:b/>
          <w:bCs/>
        </w:rPr>
      </w:pPr>
      <w:r>
        <w:rPr>
          <w:rFonts w:eastAsia="Calibri" w:cstheme="minorHAnsi"/>
          <w:b/>
          <w:bCs/>
        </w:rPr>
        <w:lastRenderedPageBreak/>
        <w:t>Sources</w:t>
      </w:r>
    </w:p>
    <w:p w14:paraId="72342227" w14:textId="650DD887" w:rsidR="00CB4023" w:rsidRDefault="00CB4023" w:rsidP="00CB4023">
      <w:pPr>
        <w:ind w:left="720"/>
      </w:pPr>
      <w:r w:rsidRPr="005F0980">
        <w:t>Bullet point</w:t>
      </w:r>
      <w:r>
        <w:t>s</w:t>
      </w:r>
      <w:r w:rsidRPr="005F0980">
        <w:t xml:space="preserve"> 1</w:t>
      </w:r>
      <w:r>
        <w:t>-5</w:t>
      </w:r>
      <w:r w:rsidRPr="005F0980">
        <w:t xml:space="preserve"> </w:t>
      </w:r>
      <w:r>
        <w:t>are</w:t>
      </w:r>
      <w:r w:rsidRPr="005F0980">
        <w:t xml:space="preserve"> from </w:t>
      </w:r>
      <w:hyperlink r:id="rId7" w:history="1">
        <w:r w:rsidRPr="00CE5F06">
          <w:rPr>
            <w:rStyle w:val="Hyperlink"/>
          </w:rPr>
          <w:t>https://www.whitehouse.gov/cea/written-materials/2023/09/13/chronic-absenteeism-and-disrupted-learning-require-an-all-hands-on-deck-approach/</w:t>
        </w:r>
      </w:hyperlink>
      <w:r w:rsidRPr="00CE5F06">
        <w:t xml:space="preserve"> </w:t>
      </w:r>
      <w:r>
        <w:t xml:space="preserve"> </w:t>
      </w:r>
    </w:p>
    <w:p w14:paraId="7A2C2A10" w14:textId="1CD74A1E" w:rsidR="00CB4023" w:rsidRPr="00CB4023" w:rsidRDefault="00CB4023" w:rsidP="00CB4023">
      <w:pPr>
        <w:ind w:left="720"/>
      </w:pPr>
      <w:r w:rsidRPr="00CB4023">
        <w:t xml:space="preserve">Bullet points 6-7 are from </w:t>
      </w:r>
      <w:hyperlink r:id="rId8" w:history="1">
        <w:r w:rsidRPr="00CB4023">
          <w:rPr>
            <w:rStyle w:val="Hyperlink"/>
          </w:rPr>
          <w:t>https://nces.ed.gov/nationsreportcard/blog/attendance_and_naep_2022_score_declines.aspx</w:t>
        </w:r>
      </w:hyperlink>
      <w:r w:rsidRPr="00CB4023">
        <w:t xml:space="preserve"> </w:t>
      </w:r>
    </w:p>
    <w:p w14:paraId="0B56B0EF" w14:textId="0BF55E0F" w:rsidR="00CB4023" w:rsidRPr="00CB4023" w:rsidRDefault="00CB4023" w:rsidP="00CB4023">
      <w:pPr>
        <w:ind w:left="720"/>
        <w:rPr>
          <w:rStyle w:val="Hyperlink"/>
        </w:rPr>
      </w:pPr>
      <w:bookmarkStart w:id="1" w:name="_Hlk183505541"/>
      <w:r w:rsidRPr="00CB4023">
        <w:t>Bullet point</w:t>
      </w:r>
      <w:bookmarkEnd w:id="1"/>
      <w:r w:rsidRPr="00CB4023">
        <w:t xml:space="preserve"> 8 </w:t>
      </w:r>
      <w:bookmarkStart w:id="2" w:name="_Hlk183505556"/>
      <w:r w:rsidRPr="00CB4023">
        <w:t xml:space="preserve">is from </w:t>
      </w:r>
      <w:bookmarkEnd w:id="2"/>
      <w:r w:rsidRPr="00CB4023">
        <w:fldChar w:fldCharType="begin"/>
      </w:r>
      <w:r w:rsidRPr="00CB4023">
        <w:instrText>HYPERLINK "https://nces.ed.gov/programs/raceindicators/indicator_rcc.asp"</w:instrText>
      </w:r>
      <w:r w:rsidRPr="00CB4023">
        <w:fldChar w:fldCharType="separate"/>
      </w:r>
      <w:r w:rsidRPr="00CB4023">
        <w:rPr>
          <w:rStyle w:val="Hyperlink"/>
        </w:rPr>
        <w:t>https://nces.ed.gov/programs/raceindicators/indicator_rcc.asp</w:t>
      </w:r>
      <w:r w:rsidRPr="00CB4023">
        <w:rPr>
          <w:rStyle w:val="Hyperlink"/>
        </w:rPr>
        <w:fldChar w:fldCharType="end"/>
      </w:r>
      <w:r w:rsidRPr="00CB4023">
        <w:rPr>
          <w:rStyle w:val="Hyperlink"/>
        </w:rPr>
        <w:t xml:space="preserve"> </w:t>
      </w:r>
    </w:p>
    <w:p w14:paraId="264C9AC3" w14:textId="20654259" w:rsidR="00CB4023" w:rsidRPr="00CB4023" w:rsidRDefault="00CB4023" w:rsidP="00CB4023">
      <w:pPr>
        <w:ind w:left="720"/>
      </w:pPr>
      <w:r w:rsidRPr="00CB4023">
        <w:t xml:space="preserve">Bullet point 9 is from </w:t>
      </w:r>
      <w:hyperlink r:id="rId9" w:history="1">
        <w:r w:rsidRPr="00CB4023">
          <w:rPr>
            <w:rStyle w:val="Hyperlink"/>
          </w:rPr>
          <w:t>https://pmc.ncbi.nlm.nih.gov/articles/PMC5733793/</w:t>
        </w:r>
      </w:hyperlink>
      <w:r w:rsidRPr="00CB4023">
        <w:t xml:space="preserve"> </w:t>
      </w:r>
    </w:p>
    <w:p w14:paraId="17CE83E3" w14:textId="5FC43B64" w:rsidR="00CB4023" w:rsidRPr="00CB4023" w:rsidRDefault="00CB4023" w:rsidP="00CB4023">
      <w:pPr>
        <w:ind w:left="720"/>
      </w:pPr>
      <w:r w:rsidRPr="00CB4023">
        <w:t xml:space="preserve">Bullet points 10-11 are from </w:t>
      </w:r>
      <w:hyperlink r:id="rId10" w:history="1">
        <w:r w:rsidRPr="00CB4023">
          <w:rPr>
            <w:rStyle w:val="Hyperlink"/>
          </w:rPr>
          <w:t>https://apnews.com/article/school-attendance-sick-day-chronic-absenteeism-270f6d07041760e90bf84d9f4108aa4d</w:t>
        </w:r>
      </w:hyperlink>
      <w:r w:rsidRPr="00CB4023">
        <w:t xml:space="preserve"> </w:t>
      </w:r>
    </w:p>
    <w:p w14:paraId="68A664BE" w14:textId="562E0455" w:rsidR="00CB4023" w:rsidRPr="00CB4023" w:rsidRDefault="00CB4023" w:rsidP="00CB4023">
      <w:pPr>
        <w:ind w:left="720"/>
      </w:pPr>
      <w:r w:rsidRPr="00CB4023">
        <w:t xml:space="preserve">Bullet points 12-16 are from </w:t>
      </w:r>
      <w:hyperlink r:id="rId11" w:history="1">
        <w:r w:rsidRPr="00CB4023">
          <w:rPr>
            <w:rStyle w:val="Hyperlink"/>
          </w:rPr>
          <w:t>https://www.educationworld.com/teachers/tackling-truancy-strategies-addressing-student-absence-problems</w:t>
        </w:r>
      </w:hyperlink>
    </w:p>
    <w:p w14:paraId="3F31BD14" w14:textId="77777777" w:rsidR="00CB4023" w:rsidRPr="00CE5F06" w:rsidRDefault="00CB4023" w:rsidP="00CB4023">
      <w:pPr>
        <w:rPr>
          <w:sz w:val="36"/>
          <w:szCs w:val="36"/>
        </w:rPr>
      </w:pPr>
    </w:p>
    <w:sectPr w:rsidR="00CB4023" w:rsidRPr="00CE5F06">
      <w:headerReference w:type="default" r:id="rId12"/>
      <w:footerReference w:type="default" r:id="rId13"/>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3DDB698" w14:textId="77777777" w:rsidR="00D06897" w:rsidRDefault="00D06897" w:rsidP="00D06897">
      <w:pPr>
        <w:spacing w:after="0" w:line="240" w:lineRule="auto"/>
      </w:pPr>
      <w:r>
        <w:separator/>
      </w:r>
    </w:p>
  </w:endnote>
  <w:endnote w:type="continuationSeparator" w:id="0">
    <w:p w14:paraId="4693864D" w14:textId="77777777" w:rsidR="00D06897" w:rsidRDefault="00D06897" w:rsidP="00D0689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5EA2E7A" w14:textId="51982ABC" w:rsidR="00D06897" w:rsidRPr="001F3FAB" w:rsidRDefault="00D06897" w:rsidP="00D06897">
    <w:pPr>
      <w:pStyle w:val="Footer"/>
      <w:pBdr>
        <w:top w:val="thinThickSmallGap" w:sz="24" w:space="1" w:color="7F340D" w:themeColor="accent2" w:themeShade="7F"/>
      </w:pBdr>
      <w:rPr>
        <w:rFonts w:eastAsiaTheme="majorEastAsia" w:cstheme="minorHAnsi"/>
      </w:rPr>
    </w:pPr>
    <w:r w:rsidRPr="001F3FAB">
      <w:rPr>
        <w:rFonts w:eastAsiaTheme="majorEastAsia" w:cstheme="minorHAnsi"/>
      </w:rPr>
      <w:t xml:space="preserve">Arizona Foundation for Legal Services and Education                          </w:t>
    </w:r>
    <w:r w:rsidR="00C075A0">
      <w:rPr>
        <w:rFonts w:eastAsiaTheme="majorEastAsia" w:cstheme="minorHAnsi"/>
      </w:rPr>
      <w:t>December</w:t>
    </w:r>
    <w:r>
      <w:rPr>
        <w:rFonts w:eastAsiaTheme="majorEastAsia" w:cstheme="minorHAnsi"/>
      </w:rPr>
      <w:t xml:space="preserve"> 2024</w:t>
    </w:r>
    <w:r w:rsidRPr="001F3FAB">
      <w:rPr>
        <w:rFonts w:eastAsiaTheme="majorEastAsia" w:cstheme="minorHAnsi"/>
      </w:rPr>
      <w:ptab w:relativeTo="margin" w:alignment="right" w:leader="none"/>
    </w:r>
    <w:r w:rsidRPr="001F3FAB">
      <w:rPr>
        <w:rFonts w:eastAsiaTheme="majorEastAsia" w:cstheme="minorHAnsi"/>
      </w:rPr>
      <w:t xml:space="preserve">Page </w:t>
    </w:r>
    <w:r w:rsidRPr="001F3FAB">
      <w:rPr>
        <w:rFonts w:eastAsiaTheme="minorEastAsia" w:cstheme="minorHAnsi"/>
      </w:rPr>
      <w:fldChar w:fldCharType="begin"/>
    </w:r>
    <w:r w:rsidRPr="001F3FAB">
      <w:rPr>
        <w:rFonts w:cstheme="minorHAnsi"/>
      </w:rPr>
      <w:instrText xml:space="preserve"> PAGE   \* MERGEFORMAT </w:instrText>
    </w:r>
    <w:r w:rsidRPr="001F3FAB">
      <w:rPr>
        <w:rFonts w:eastAsiaTheme="minorEastAsia" w:cstheme="minorHAnsi"/>
      </w:rPr>
      <w:fldChar w:fldCharType="separate"/>
    </w:r>
    <w:r>
      <w:rPr>
        <w:rFonts w:eastAsiaTheme="minorEastAsia" w:cstheme="minorHAnsi"/>
      </w:rPr>
      <w:t>1</w:t>
    </w:r>
    <w:r w:rsidRPr="001F3FAB">
      <w:rPr>
        <w:rFonts w:eastAsiaTheme="majorEastAsia" w:cstheme="minorHAnsi"/>
        <w:noProof/>
      </w:rPr>
      <w:fldChar w:fldCharType="end"/>
    </w:r>
  </w:p>
  <w:p w14:paraId="3A80497A" w14:textId="77777777" w:rsidR="00D06897" w:rsidRDefault="00D0689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4C3D721" w14:textId="77777777" w:rsidR="00D06897" w:rsidRDefault="00D06897" w:rsidP="00D06897">
      <w:pPr>
        <w:spacing w:after="0" w:line="240" w:lineRule="auto"/>
      </w:pPr>
      <w:r>
        <w:separator/>
      </w:r>
    </w:p>
  </w:footnote>
  <w:footnote w:type="continuationSeparator" w:id="0">
    <w:p w14:paraId="52E83BB7" w14:textId="77777777" w:rsidR="00D06897" w:rsidRDefault="00D06897" w:rsidP="00D0689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F23A82A" w14:textId="3AEDB7D1" w:rsidR="00D06897" w:rsidRPr="007E3F3C" w:rsidRDefault="00D06897" w:rsidP="007E3F3C">
    <w:pPr>
      <w:jc w:val="center"/>
    </w:pPr>
    <w:r w:rsidRPr="00DC7F18">
      <w:rPr>
        <w:rFonts w:cs="Tahoma"/>
        <w:b/>
        <w:noProof/>
      </w:rPr>
      <w:drawing>
        <wp:inline distT="0" distB="0" distL="0" distR="0" wp14:anchorId="5E4A7239" wp14:editId="690CDB48">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D5063B7"/>
    <w:multiLevelType w:val="hybridMultilevel"/>
    <w:tmpl w:val="4FE682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311B1477"/>
    <w:multiLevelType w:val="hybridMultilevel"/>
    <w:tmpl w:val="91CCCF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365A55C2"/>
    <w:multiLevelType w:val="hybridMultilevel"/>
    <w:tmpl w:val="9FD2B9B6"/>
    <w:lvl w:ilvl="0" w:tplc="E5FEC002">
      <w:start w:val="1"/>
      <w:numFmt w:val="decimal"/>
      <w:lvlText w:val="%1."/>
      <w:lvlJc w:val="left"/>
      <w:pPr>
        <w:ind w:left="720" w:hanging="360"/>
      </w:pPr>
      <w:rPr>
        <w:rFonts w:ascii="Calibri" w:eastAsia="Calibri" w:hAnsi="Calibri" w:cs="Calibri" w:hint="default"/>
        <w:b/>
        <w:color w:val="00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6FB72D2"/>
    <w:multiLevelType w:val="hybridMultilevel"/>
    <w:tmpl w:val="8356E4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9C04A92"/>
    <w:multiLevelType w:val="hybridMultilevel"/>
    <w:tmpl w:val="E94CB1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9ED6808"/>
    <w:multiLevelType w:val="hybridMultilevel"/>
    <w:tmpl w:val="A39E602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 w15:restartNumberingAfterBreak="0">
    <w:nsid w:val="5ACF74B4"/>
    <w:multiLevelType w:val="hybridMultilevel"/>
    <w:tmpl w:val="78802AA4"/>
    <w:lvl w:ilvl="0" w:tplc="A4D040B2">
      <w:start w:val="1"/>
      <w:numFmt w:val="decimal"/>
      <w:lvlText w:val="%1."/>
      <w:lvlJc w:val="left"/>
      <w:pPr>
        <w:ind w:left="1800" w:hanging="360"/>
      </w:pPr>
      <w:rPr>
        <w:rFonts w:ascii="Calibri" w:eastAsia="Calibri" w:hAnsi="Calibri" w:cs="Calibri" w:hint="default"/>
        <w:b/>
        <w:color w:val="000000"/>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 w15:restartNumberingAfterBreak="0">
    <w:nsid w:val="673657C6"/>
    <w:multiLevelType w:val="hybridMultilevel"/>
    <w:tmpl w:val="3CAC09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700D5FE0"/>
    <w:multiLevelType w:val="hybridMultilevel"/>
    <w:tmpl w:val="9CC0ED6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9" w15:restartNumberingAfterBreak="0">
    <w:nsid w:val="74E13311"/>
    <w:multiLevelType w:val="hybridMultilevel"/>
    <w:tmpl w:val="8A684D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135021461">
    <w:abstractNumId w:val="3"/>
  </w:num>
  <w:num w:numId="2" w16cid:durableId="572008475">
    <w:abstractNumId w:val="6"/>
  </w:num>
  <w:num w:numId="3" w16cid:durableId="792596012">
    <w:abstractNumId w:val="2"/>
  </w:num>
  <w:num w:numId="4" w16cid:durableId="1216115251">
    <w:abstractNumId w:val="5"/>
  </w:num>
  <w:num w:numId="5" w16cid:durableId="237598136">
    <w:abstractNumId w:val="5"/>
  </w:num>
  <w:num w:numId="6" w16cid:durableId="129372176">
    <w:abstractNumId w:val="9"/>
  </w:num>
  <w:num w:numId="7" w16cid:durableId="1206522081">
    <w:abstractNumId w:val="4"/>
  </w:num>
  <w:num w:numId="8" w16cid:durableId="352726762">
    <w:abstractNumId w:val="0"/>
  </w:num>
  <w:num w:numId="9" w16cid:durableId="2119524731">
    <w:abstractNumId w:val="7"/>
  </w:num>
  <w:num w:numId="10" w16cid:durableId="1407335779">
    <w:abstractNumId w:val="1"/>
  </w:num>
  <w:num w:numId="11" w16cid:durableId="957373186">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5649D"/>
    <w:rsid w:val="000B0EDD"/>
    <w:rsid w:val="000C6818"/>
    <w:rsid w:val="000E7E86"/>
    <w:rsid w:val="00104D05"/>
    <w:rsid w:val="001638C7"/>
    <w:rsid w:val="001F31E7"/>
    <w:rsid w:val="0029278C"/>
    <w:rsid w:val="002B16F1"/>
    <w:rsid w:val="003128E4"/>
    <w:rsid w:val="00335958"/>
    <w:rsid w:val="00336C1B"/>
    <w:rsid w:val="00361A0E"/>
    <w:rsid w:val="0045649D"/>
    <w:rsid w:val="00471849"/>
    <w:rsid w:val="004A074E"/>
    <w:rsid w:val="00572A43"/>
    <w:rsid w:val="005E2E6B"/>
    <w:rsid w:val="005F44CC"/>
    <w:rsid w:val="005F7B4D"/>
    <w:rsid w:val="00644417"/>
    <w:rsid w:val="006A33A9"/>
    <w:rsid w:val="006F6A37"/>
    <w:rsid w:val="007D7366"/>
    <w:rsid w:val="007E3F3C"/>
    <w:rsid w:val="009165C7"/>
    <w:rsid w:val="0099546A"/>
    <w:rsid w:val="009C7C1B"/>
    <w:rsid w:val="00A84DC2"/>
    <w:rsid w:val="00B57EAB"/>
    <w:rsid w:val="00B904D0"/>
    <w:rsid w:val="00C075A0"/>
    <w:rsid w:val="00CB4023"/>
    <w:rsid w:val="00CE5F06"/>
    <w:rsid w:val="00D06897"/>
    <w:rsid w:val="00F70056"/>
    <w:rsid w:val="00F90C9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B60EDE"/>
  <w15:chartTrackingRefBased/>
  <w15:docId w15:val="{945CBBDB-13A7-4E00-A59B-76DA75C5BE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45649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45649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45649D"/>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45649D"/>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45649D"/>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45649D"/>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45649D"/>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45649D"/>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45649D"/>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5649D"/>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45649D"/>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45649D"/>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45649D"/>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45649D"/>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45649D"/>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45649D"/>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45649D"/>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45649D"/>
    <w:rPr>
      <w:rFonts w:eastAsiaTheme="majorEastAsia" w:cstheme="majorBidi"/>
      <w:color w:val="272727" w:themeColor="text1" w:themeTint="D8"/>
    </w:rPr>
  </w:style>
  <w:style w:type="paragraph" w:styleId="Title">
    <w:name w:val="Title"/>
    <w:basedOn w:val="Normal"/>
    <w:next w:val="Normal"/>
    <w:link w:val="TitleChar"/>
    <w:uiPriority w:val="10"/>
    <w:qFormat/>
    <w:rsid w:val="0045649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5649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45649D"/>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45649D"/>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45649D"/>
    <w:pPr>
      <w:spacing w:before="160"/>
      <w:jc w:val="center"/>
    </w:pPr>
    <w:rPr>
      <w:i/>
      <w:iCs/>
      <w:color w:val="404040" w:themeColor="text1" w:themeTint="BF"/>
    </w:rPr>
  </w:style>
  <w:style w:type="character" w:customStyle="1" w:styleId="QuoteChar">
    <w:name w:val="Quote Char"/>
    <w:basedOn w:val="DefaultParagraphFont"/>
    <w:link w:val="Quote"/>
    <w:uiPriority w:val="29"/>
    <w:rsid w:val="0045649D"/>
    <w:rPr>
      <w:i/>
      <w:iCs/>
      <w:color w:val="404040" w:themeColor="text1" w:themeTint="BF"/>
    </w:rPr>
  </w:style>
  <w:style w:type="paragraph" w:styleId="ListParagraph">
    <w:name w:val="List Paragraph"/>
    <w:basedOn w:val="Normal"/>
    <w:uiPriority w:val="34"/>
    <w:qFormat/>
    <w:rsid w:val="0045649D"/>
    <w:pPr>
      <w:ind w:left="720"/>
      <w:contextualSpacing/>
    </w:pPr>
  </w:style>
  <w:style w:type="character" w:styleId="IntenseEmphasis">
    <w:name w:val="Intense Emphasis"/>
    <w:basedOn w:val="DefaultParagraphFont"/>
    <w:uiPriority w:val="21"/>
    <w:qFormat/>
    <w:rsid w:val="0045649D"/>
    <w:rPr>
      <w:i/>
      <w:iCs/>
      <w:color w:val="0F4761" w:themeColor="accent1" w:themeShade="BF"/>
    </w:rPr>
  </w:style>
  <w:style w:type="paragraph" w:styleId="IntenseQuote">
    <w:name w:val="Intense Quote"/>
    <w:basedOn w:val="Normal"/>
    <w:next w:val="Normal"/>
    <w:link w:val="IntenseQuoteChar"/>
    <w:uiPriority w:val="30"/>
    <w:qFormat/>
    <w:rsid w:val="0045649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45649D"/>
    <w:rPr>
      <w:i/>
      <w:iCs/>
      <w:color w:val="0F4761" w:themeColor="accent1" w:themeShade="BF"/>
    </w:rPr>
  </w:style>
  <w:style w:type="character" w:styleId="IntenseReference">
    <w:name w:val="Intense Reference"/>
    <w:basedOn w:val="DefaultParagraphFont"/>
    <w:uiPriority w:val="32"/>
    <w:qFormat/>
    <w:rsid w:val="0045649D"/>
    <w:rPr>
      <w:b/>
      <w:bCs/>
      <w:smallCaps/>
      <w:color w:val="0F4761" w:themeColor="accent1" w:themeShade="BF"/>
      <w:spacing w:val="5"/>
    </w:rPr>
  </w:style>
  <w:style w:type="table" w:styleId="TableGrid">
    <w:name w:val="Table Grid"/>
    <w:basedOn w:val="TableNormal"/>
    <w:uiPriority w:val="39"/>
    <w:rsid w:val="00B57EA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D0689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06897"/>
  </w:style>
  <w:style w:type="paragraph" w:styleId="Footer">
    <w:name w:val="footer"/>
    <w:basedOn w:val="Normal"/>
    <w:link w:val="FooterChar"/>
    <w:uiPriority w:val="99"/>
    <w:unhideWhenUsed/>
    <w:rsid w:val="00D0689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06897"/>
  </w:style>
  <w:style w:type="paragraph" w:styleId="NormalWeb">
    <w:name w:val="Normal (Web)"/>
    <w:basedOn w:val="Normal"/>
    <w:uiPriority w:val="99"/>
    <w:unhideWhenUsed/>
    <w:rsid w:val="00C075A0"/>
    <w:pPr>
      <w:spacing w:before="100" w:beforeAutospacing="1" w:after="100" w:afterAutospacing="1" w:line="240" w:lineRule="auto"/>
    </w:pPr>
    <w:rPr>
      <w:rFonts w:ascii="Times New Roman" w:eastAsia="Times New Roman" w:hAnsi="Times New Roman" w:cs="Times New Roman"/>
      <w:kern w:val="0"/>
      <w14:ligatures w14:val="none"/>
    </w:rPr>
  </w:style>
  <w:style w:type="character" w:styleId="Hyperlink">
    <w:name w:val="Hyperlink"/>
    <w:basedOn w:val="DefaultParagraphFont"/>
    <w:uiPriority w:val="99"/>
    <w:unhideWhenUsed/>
    <w:rsid w:val="00336C1B"/>
    <w:rPr>
      <w:color w:val="467886" w:themeColor="hyperlink"/>
      <w:u w:val="single"/>
    </w:rPr>
  </w:style>
  <w:style w:type="character" w:styleId="UnresolvedMention">
    <w:name w:val="Unresolved Mention"/>
    <w:basedOn w:val="DefaultParagraphFont"/>
    <w:uiPriority w:val="99"/>
    <w:semiHidden/>
    <w:unhideWhenUsed/>
    <w:rsid w:val="00336C1B"/>
    <w:rPr>
      <w:color w:val="605E5C"/>
      <w:shd w:val="clear" w:color="auto" w:fill="E1DFDD"/>
    </w:rPr>
  </w:style>
  <w:style w:type="paragraph" w:styleId="Revision">
    <w:name w:val="Revision"/>
    <w:hidden/>
    <w:uiPriority w:val="99"/>
    <w:semiHidden/>
    <w:rsid w:val="006F6A37"/>
    <w:pPr>
      <w:spacing w:after="0" w:line="240" w:lineRule="auto"/>
    </w:pPr>
  </w:style>
  <w:style w:type="character" w:styleId="CommentReference">
    <w:name w:val="annotation reference"/>
    <w:basedOn w:val="DefaultParagraphFont"/>
    <w:uiPriority w:val="99"/>
    <w:semiHidden/>
    <w:unhideWhenUsed/>
    <w:rsid w:val="006F6A37"/>
    <w:rPr>
      <w:sz w:val="16"/>
      <w:szCs w:val="16"/>
    </w:rPr>
  </w:style>
  <w:style w:type="paragraph" w:styleId="CommentText">
    <w:name w:val="annotation text"/>
    <w:basedOn w:val="Normal"/>
    <w:link w:val="CommentTextChar"/>
    <w:uiPriority w:val="99"/>
    <w:unhideWhenUsed/>
    <w:rsid w:val="006F6A37"/>
    <w:pPr>
      <w:spacing w:line="240" w:lineRule="auto"/>
    </w:pPr>
    <w:rPr>
      <w:sz w:val="20"/>
      <w:szCs w:val="20"/>
    </w:rPr>
  </w:style>
  <w:style w:type="character" w:customStyle="1" w:styleId="CommentTextChar">
    <w:name w:val="Comment Text Char"/>
    <w:basedOn w:val="DefaultParagraphFont"/>
    <w:link w:val="CommentText"/>
    <w:uiPriority w:val="99"/>
    <w:rsid w:val="006F6A37"/>
    <w:rPr>
      <w:sz w:val="20"/>
      <w:szCs w:val="20"/>
    </w:rPr>
  </w:style>
  <w:style w:type="paragraph" w:styleId="CommentSubject">
    <w:name w:val="annotation subject"/>
    <w:basedOn w:val="CommentText"/>
    <w:next w:val="CommentText"/>
    <w:link w:val="CommentSubjectChar"/>
    <w:uiPriority w:val="99"/>
    <w:semiHidden/>
    <w:unhideWhenUsed/>
    <w:rsid w:val="006F6A37"/>
    <w:rPr>
      <w:b/>
      <w:bCs/>
    </w:rPr>
  </w:style>
  <w:style w:type="character" w:customStyle="1" w:styleId="CommentSubjectChar">
    <w:name w:val="Comment Subject Char"/>
    <w:basedOn w:val="CommentTextChar"/>
    <w:link w:val="CommentSubject"/>
    <w:uiPriority w:val="99"/>
    <w:semiHidden/>
    <w:rsid w:val="006F6A37"/>
    <w:rPr>
      <w:b/>
      <w:bCs/>
      <w:sz w:val="20"/>
      <w:szCs w:val="20"/>
    </w:rPr>
  </w:style>
  <w:style w:type="paragraph" w:styleId="FootnoteText">
    <w:name w:val="footnote text"/>
    <w:basedOn w:val="Normal"/>
    <w:link w:val="FootnoteTextChar"/>
    <w:uiPriority w:val="99"/>
    <w:semiHidden/>
    <w:unhideWhenUsed/>
    <w:rsid w:val="004A074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4A074E"/>
    <w:rPr>
      <w:sz w:val="20"/>
      <w:szCs w:val="20"/>
    </w:rPr>
  </w:style>
  <w:style w:type="character" w:styleId="FootnoteReference">
    <w:name w:val="footnote reference"/>
    <w:basedOn w:val="DefaultParagraphFont"/>
    <w:uiPriority w:val="99"/>
    <w:semiHidden/>
    <w:unhideWhenUsed/>
    <w:rsid w:val="004A074E"/>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5128873">
      <w:bodyDiv w:val="1"/>
      <w:marLeft w:val="0"/>
      <w:marRight w:val="0"/>
      <w:marTop w:val="0"/>
      <w:marBottom w:val="0"/>
      <w:divBdr>
        <w:top w:val="none" w:sz="0" w:space="0" w:color="auto"/>
        <w:left w:val="none" w:sz="0" w:space="0" w:color="auto"/>
        <w:bottom w:val="none" w:sz="0" w:space="0" w:color="auto"/>
        <w:right w:val="none" w:sz="0" w:space="0" w:color="auto"/>
      </w:divBdr>
    </w:div>
    <w:div w:id="238297686">
      <w:bodyDiv w:val="1"/>
      <w:marLeft w:val="0"/>
      <w:marRight w:val="0"/>
      <w:marTop w:val="0"/>
      <w:marBottom w:val="0"/>
      <w:divBdr>
        <w:top w:val="none" w:sz="0" w:space="0" w:color="auto"/>
        <w:left w:val="none" w:sz="0" w:space="0" w:color="auto"/>
        <w:bottom w:val="none" w:sz="0" w:space="0" w:color="auto"/>
        <w:right w:val="none" w:sz="0" w:space="0" w:color="auto"/>
      </w:divBdr>
    </w:div>
    <w:div w:id="333917178">
      <w:bodyDiv w:val="1"/>
      <w:marLeft w:val="0"/>
      <w:marRight w:val="0"/>
      <w:marTop w:val="0"/>
      <w:marBottom w:val="0"/>
      <w:divBdr>
        <w:top w:val="none" w:sz="0" w:space="0" w:color="auto"/>
        <w:left w:val="none" w:sz="0" w:space="0" w:color="auto"/>
        <w:bottom w:val="none" w:sz="0" w:space="0" w:color="auto"/>
        <w:right w:val="none" w:sz="0" w:space="0" w:color="auto"/>
      </w:divBdr>
    </w:div>
    <w:div w:id="357703776">
      <w:bodyDiv w:val="1"/>
      <w:marLeft w:val="0"/>
      <w:marRight w:val="0"/>
      <w:marTop w:val="0"/>
      <w:marBottom w:val="0"/>
      <w:divBdr>
        <w:top w:val="none" w:sz="0" w:space="0" w:color="auto"/>
        <w:left w:val="none" w:sz="0" w:space="0" w:color="auto"/>
        <w:bottom w:val="none" w:sz="0" w:space="0" w:color="auto"/>
        <w:right w:val="none" w:sz="0" w:space="0" w:color="auto"/>
      </w:divBdr>
    </w:div>
    <w:div w:id="627777667">
      <w:bodyDiv w:val="1"/>
      <w:marLeft w:val="0"/>
      <w:marRight w:val="0"/>
      <w:marTop w:val="0"/>
      <w:marBottom w:val="0"/>
      <w:divBdr>
        <w:top w:val="none" w:sz="0" w:space="0" w:color="auto"/>
        <w:left w:val="none" w:sz="0" w:space="0" w:color="auto"/>
        <w:bottom w:val="none" w:sz="0" w:space="0" w:color="auto"/>
        <w:right w:val="none" w:sz="0" w:space="0" w:color="auto"/>
      </w:divBdr>
    </w:div>
    <w:div w:id="667565126">
      <w:bodyDiv w:val="1"/>
      <w:marLeft w:val="0"/>
      <w:marRight w:val="0"/>
      <w:marTop w:val="0"/>
      <w:marBottom w:val="0"/>
      <w:divBdr>
        <w:top w:val="none" w:sz="0" w:space="0" w:color="auto"/>
        <w:left w:val="none" w:sz="0" w:space="0" w:color="auto"/>
        <w:bottom w:val="none" w:sz="0" w:space="0" w:color="auto"/>
        <w:right w:val="none" w:sz="0" w:space="0" w:color="auto"/>
      </w:divBdr>
    </w:div>
    <w:div w:id="688529448">
      <w:bodyDiv w:val="1"/>
      <w:marLeft w:val="0"/>
      <w:marRight w:val="0"/>
      <w:marTop w:val="0"/>
      <w:marBottom w:val="0"/>
      <w:divBdr>
        <w:top w:val="none" w:sz="0" w:space="0" w:color="auto"/>
        <w:left w:val="none" w:sz="0" w:space="0" w:color="auto"/>
        <w:bottom w:val="none" w:sz="0" w:space="0" w:color="auto"/>
        <w:right w:val="none" w:sz="0" w:space="0" w:color="auto"/>
      </w:divBdr>
    </w:div>
    <w:div w:id="790049927">
      <w:bodyDiv w:val="1"/>
      <w:marLeft w:val="0"/>
      <w:marRight w:val="0"/>
      <w:marTop w:val="0"/>
      <w:marBottom w:val="0"/>
      <w:divBdr>
        <w:top w:val="none" w:sz="0" w:space="0" w:color="auto"/>
        <w:left w:val="none" w:sz="0" w:space="0" w:color="auto"/>
        <w:bottom w:val="none" w:sz="0" w:space="0" w:color="auto"/>
        <w:right w:val="none" w:sz="0" w:space="0" w:color="auto"/>
      </w:divBdr>
    </w:div>
    <w:div w:id="812916654">
      <w:bodyDiv w:val="1"/>
      <w:marLeft w:val="0"/>
      <w:marRight w:val="0"/>
      <w:marTop w:val="0"/>
      <w:marBottom w:val="0"/>
      <w:divBdr>
        <w:top w:val="none" w:sz="0" w:space="0" w:color="auto"/>
        <w:left w:val="none" w:sz="0" w:space="0" w:color="auto"/>
        <w:bottom w:val="none" w:sz="0" w:space="0" w:color="auto"/>
        <w:right w:val="none" w:sz="0" w:space="0" w:color="auto"/>
      </w:divBdr>
    </w:div>
    <w:div w:id="990912259">
      <w:bodyDiv w:val="1"/>
      <w:marLeft w:val="0"/>
      <w:marRight w:val="0"/>
      <w:marTop w:val="0"/>
      <w:marBottom w:val="0"/>
      <w:divBdr>
        <w:top w:val="none" w:sz="0" w:space="0" w:color="auto"/>
        <w:left w:val="none" w:sz="0" w:space="0" w:color="auto"/>
        <w:bottom w:val="none" w:sz="0" w:space="0" w:color="auto"/>
        <w:right w:val="none" w:sz="0" w:space="0" w:color="auto"/>
      </w:divBdr>
    </w:div>
    <w:div w:id="1071926675">
      <w:bodyDiv w:val="1"/>
      <w:marLeft w:val="0"/>
      <w:marRight w:val="0"/>
      <w:marTop w:val="0"/>
      <w:marBottom w:val="0"/>
      <w:divBdr>
        <w:top w:val="none" w:sz="0" w:space="0" w:color="auto"/>
        <w:left w:val="none" w:sz="0" w:space="0" w:color="auto"/>
        <w:bottom w:val="none" w:sz="0" w:space="0" w:color="auto"/>
        <w:right w:val="none" w:sz="0" w:space="0" w:color="auto"/>
      </w:divBdr>
    </w:div>
    <w:div w:id="1449156856">
      <w:bodyDiv w:val="1"/>
      <w:marLeft w:val="0"/>
      <w:marRight w:val="0"/>
      <w:marTop w:val="0"/>
      <w:marBottom w:val="0"/>
      <w:divBdr>
        <w:top w:val="none" w:sz="0" w:space="0" w:color="auto"/>
        <w:left w:val="none" w:sz="0" w:space="0" w:color="auto"/>
        <w:bottom w:val="none" w:sz="0" w:space="0" w:color="auto"/>
        <w:right w:val="none" w:sz="0" w:space="0" w:color="auto"/>
      </w:divBdr>
    </w:div>
    <w:div w:id="1610236470">
      <w:bodyDiv w:val="1"/>
      <w:marLeft w:val="0"/>
      <w:marRight w:val="0"/>
      <w:marTop w:val="0"/>
      <w:marBottom w:val="0"/>
      <w:divBdr>
        <w:top w:val="none" w:sz="0" w:space="0" w:color="auto"/>
        <w:left w:val="none" w:sz="0" w:space="0" w:color="auto"/>
        <w:bottom w:val="none" w:sz="0" w:space="0" w:color="auto"/>
        <w:right w:val="none" w:sz="0" w:space="0" w:color="auto"/>
      </w:divBdr>
    </w:div>
    <w:div w:id="1738163216">
      <w:bodyDiv w:val="1"/>
      <w:marLeft w:val="0"/>
      <w:marRight w:val="0"/>
      <w:marTop w:val="0"/>
      <w:marBottom w:val="0"/>
      <w:divBdr>
        <w:top w:val="none" w:sz="0" w:space="0" w:color="auto"/>
        <w:left w:val="none" w:sz="0" w:space="0" w:color="auto"/>
        <w:bottom w:val="none" w:sz="0" w:space="0" w:color="auto"/>
        <w:right w:val="none" w:sz="0" w:space="0" w:color="auto"/>
      </w:divBdr>
    </w:div>
    <w:div w:id="21284254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nces.ed.gov/nationsreportcard/blog/attendance_and_naep_2022_score_declines.aspx" TargetMode="External"/><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s://www.whitehouse.gov/cea/written-materials/2023/09/13/chronic-absenteeism-and-disrupted-learning-require-an-all-hands-on-deck-approach/" TargetMode="External"/><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educationworld.com/teachers/tackling-truancy-strategies-addressing-student-absence-problems"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s://apnews.com/article/school-attendance-sick-day-chronic-absenteeism-270f6d07041760e90bf84d9f4108aa4d" TargetMode="External"/><Relationship Id="rId4" Type="http://schemas.openxmlformats.org/officeDocument/2006/relationships/webSettings" Target="webSettings.xml"/><Relationship Id="rId9" Type="http://schemas.openxmlformats.org/officeDocument/2006/relationships/hyperlink" Target="https://pmc.ncbi.nlm.nih.gov/articles/PMC5733793/"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26</TotalTime>
  <Pages>5</Pages>
  <Words>651</Words>
  <Characters>3711</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4354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Ashley Cagnetta</dc:creator>
  <cp:keywords/>
  <dc:description/>
  <cp:lastModifiedBy>Jennifer Castro</cp:lastModifiedBy>
  <cp:revision>5</cp:revision>
  <dcterms:created xsi:type="dcterms:W3CDTF">2024-11-25T23:29:00Z</dcterms:created>
  <dcterms:modified xsi:type="dcterms:W3CDTF">2024-11-27T00:28:00Z</dcterms:modified>
</cp:coreProperties>
</file>