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F6DB4" w14:textId="77777777" w:rsidR="00D525BC" w:rsidRPr="006F57F7" w:rsidRDefault="005B0E26" w:rsidP="005B0E26">
      <w:pPr>
        <w:jc w:val="center"/>
        <w:rPr>
          <w:sz w:val="20"/>
          <w:szCs w:val="20"/>
        </w:rPr>
      </w:pPr>
      <w:r w:rsidRPr="006F57F7">
        <w:rPr>
          <w:rFonts w:ascii="Calibri" w:eastAsia="Times New Roman" w:hAnsi="Calibri" w:cs="Tahoma"/>
          <w:b/>
          <w:noProof/>
          <w:sz w:val="20"/>
          <w:szCs w:val="20"/>
        </w:rPr>
        <w:drawing>
          <wp:inline distT="0" distB="0" distL="0" distR="0" wp14:anchorId="1F15B348" wp14:editId="1E8B9724">
            <wp:extent cx="2047875" cy="952500"/>
            <wp:effectExtent l="0" t="0" r="952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05D8C" w14:textId="1409E324" w:rsidR="001C782E" w:rsidRPr="00D2433D" w:rsidRDefault="001C782E" w:rsidP="001C782E">
      <w:pPr>
        <w:pBdr>
          <w:bottom w:val="single" w:sz="4" w:space="3" w:color="auto"/>
        </w:pBdr>
        <w:spacing w:after="0" w:line="240" w:lineRule="auto"/>
        <w:jc w:val="center"/>
        <w:rPr>
          <w:rFonts w:ascii="Calibri" w:eastAsia="Calibri" w:hAnsi="Calibri" w:cs="Calibri"/>
          <w:sz w:val="20"/>
          <w:szCs w:val="20"/>
        </w:rPr>
      </w:pPr>
      <w:r w:rsidRPr="00D2433D">
        <w:rPr>
          <w:rFonts w:ascii="Calibri" w:eastAsia="Calibri" w:hAnsi="Calibri" w:cs="Calibri"/>
          <w:sz w:val="20"/>
          <w:szCs w:val="20"/>
        </w:rPr>
        <w:t>The Law-Related Education Academy is sponsored by the Arizona Foundation for Legal Services &amp; Education</w:t>
      </w:r>
      <w:r w:rsidR="009F6D6D">
        <w:rPr>
          <w:rFonts w:ascii="Calibri" w:eastAsia="Calibri" w:hAnsi="Calibri" w:cs="Calibri"/>
          <w:sz w:val="20"/>
          <w:szCs w:val="20"/>
        </w:rPr>
        <w:t xml:space="preserve"> with f</w:t>
      </w:r>
      <w:r w:rsidRPr="00D2433D">
        <w:rPr>
          <w:rFonts w:ascii="Calibri" w:eastAsia="Calibri" w:hAnsi="Calibri" w:cs="Calibri"/>
          <w:sz w:val="20"/>
          <w:szCs w:val="20"/>
        </w:rPr>
        <w:t>unding made possible by the Arizona Supreme Court.</w:t>
      </w:r>
    </w:p>
    <w:p w14:paraId="3B217E74" w14:textId="77777777" w:rsidR="005B0E26" w:rsidRPr="006F57F7" w:rsidRDefault="005B0E26" w:rsidP="005B0E26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0"/>
          <w:szCs w:val="20"/>
          <w:u w:val="single"/>
        </w:rPr>
      </w:pPr>
    </w:p>
    <w:p w14:paraId="0EFD03A2" w14:textId="5274EB00" w:rsidR="005B0E26" w:rsidRPr="00D2433D" w:rsidRDefault="00D2433D" w:rsidP="005B0E26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D2433D">
        <w:rPr>
          <w:rFonts w:ascii="Calibri" w:eastAsia="Calibri" w:hAnsi="Calibri" w:cs="Calibri"/>
          <w:b/>
          <w:bCs/>
          <w:sz w:val="24"/>
          <w:szCs w:val="24"/>
        </w:rPr>
        <w:t>“</w:t>
      </w:r>
      <w:r w:rsidR="005B0E26" w:rsidRPr="00D2433D">
        <w:rPr>
          <w:rFonts w:ascii="Calibri" w:eastAsia="Calibri" w:hAnsi="Calibri" w:cs="Calibri"/>
          <w:b/>
          <w:bCs/>
          <w:sz w:val="24"/>
          <w:szCs w:val="24"/>
        </w:rPr>
        <w:t>When You Turn 18</w:t>
      </w:r>
      <w:r w:rsidRPr="00D2433D">
        <w:rPr>
          <w:rFonts w:ascii="Calibri" w:eastAsia="Calibri" w:hAnsi="Calibri" w:cs="Calibri"/>
          <w:b/>
          <w:bCs/>
          <w:sz w:val="24"/>
          <w:szCs w:val="24"/>
        </w:rPr>
        <w:t xml:space="preserve">” </w:t>
      </w:r>
      <w:r w:rsidR="005B0E26" w:rsidRPr="00D2433D">
        <w:rPr>
          <w:rFonts w:ascii="Calibri" w:eastAsia="Calibri" w:hAnsi="Calibri" w:cs="Calibri"/>
          <w:b/>
          <w:bCs/>
          <w:sz w:val="24"/>
          <w:szCs w:val="24"/>
        </w:rPr>
        <w:t>Academy</w:t>
      </w:r>
    </w:p>
    <w:p w14:paraId="6A683132" w14:textId="5FC84C7E" w:rsidR="00D2433D" w:rsidRPr="00D2433D" w:rsidRDefault="00D2433D" w:rsidP="005B0E26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D2433D">
        <w:rPr>
          <w:rFonts w:ascii="Calibri" w:eastAsia="Calibri" w:hAnsi="Calibri" w:cs="Calibri"/>
          <w:sz w:val="24"/>
          <w:szCs w:val="24"/>
        </w:rPr>
        <w:t>(High School)</w:t>
      </w:r>
    </w:p>
    <w:p w14:paraId="1B810903" w14:textId="77777777" w:rsidR="005B0E26" w:rsidRPr="00D2433D" w:rsidRDefault="005B0E26" w:rsidP="005B0E26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" w:hAnsi="Calibri" w:cs="Tahoma"/>
          <w:b/>
          <w:bCs/>
          <w:sz w:val="24"/>
          <w:szCs w:val="24"/>
        </w:rPr>
      </w:pPr>
      <w:r w:rsidRPr="00D2433D">
        <w:rPr>
          <w:rFonts w:ascii="Calibri" w:eastAsia="Times" w:hAnsi="Calibri" w:cs="Tahoma"/>
          <w:b/>
          <w:bCs/>
          <w:sz w:val="24"/>
          <w:szCs w:val="24"/>
        </w:rPr>
        <w:t>“Juvenile vs. Adult Justice System”</w:t>
      </w:r>
    </w:p>
    <w:p w14:paraId="4043838B" w14:textId="77777777" w:rsidR="005B0E26" w:rsidRPr="00D2433D" w:rsidRDefault="005B0E26" w:rsidP="005B0E26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" w:hAnsi="Calibri" w:cs="Tahoma"/>
          <w:b/>
          <w:bCs/>
          <w:sz w:val="24"/>
          <w:szCs w:val="24"/>
        </w:rPr>
      </w:pPr>
      <w:r w:rsidRPr="00D2433D">
        <w:rPr>
          <w:rFonts w:ascii="Calibri" w:eastAsia="Times" w:hAnsi="Calibri" w:cs="Tahoma"/>
          <w:b/>
          <w:bCs/>
          <w:sz w:val="24"/>
          <w:szCs w:val="24"/>
        </w:rPr>
        <w:t>Facilitator Guide</w:t>
      </w:r>
    </w:p>
    <w:p w14:paraId="791A41F6" w14:textId="77777777" w:rsidR="005B0E26" w:rsidRPr="006F57F7" w:rsidRDefault="005B0E26" w:rsidP="005B0E26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" w:hAnsi="Calibri" w:cs="Tahoma"/>
          <w:b/>
          <w:bCs/>
          <w:sz w:val="20"/>
          <w:szCs w:val="20"/>
        </w:rPr>
      </w:pPr>
    </w:p>
    <w:p w14:paraId="7F616BBB" w14:textId="77777777" w:rsidR="005B0E26" w:rsidRPr="00D2433D" w:rsidRDefault="00CE6793" w:rsidP="005B0E26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  <w:r w:rsidRPr="006F57F7">
        <w:rPr>
          <w:rFonts w:ascii="Garamond" w:eastAsiaTheme="minorEastAsia" w:hAnsi="Garamond" w:cstheme="minorBidi"/>
          <w:color w:val="000000" w:themeColor="text1"/>
          <w:kern w:val="24"/>
          <w:sz w:val="20"/>
          <w:szCs w:val="20"/>
        </w:rPr>
        <w:t xml:space="preserve">    </w:t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    </w:t>
      </w:r>
      <w:r w:rsidR="006F57F7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  <w:u w:val="single"/>
        </w:rPr>
        <w:t>Juvenile</w:t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="006F57F7"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="006F57F7"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</w:rPr>
        <w:tab/>
      </w:r>
      <w:r w:rsidRPr="00D2433D">
        <w:rPr>
          <w:rFonts w:asciiTheme="minorHAnsi" w:eastAsiaTheme="minorEastAsia" w:hAnsiTheme="minorHAnsi" w:cstheme="minorBidi"/>
          <w:b/>
          <w:color w:val="000000" w:themeColor="text1"/>
          <w:kern w:val="24"/>
          <w:sz w:val="20"/>
          <w:szCs w:val="20"/>
          <w:u w:val="single"/>
        </w:rPr>
        <w:t>Adult</w:t>
      </w:r>
    </w:p>
    <w:p w14:paraId="576EDE64" w14:textId="77777777" w:rsidR="00CE6793" w:rsidRPr="00D2433D" w:rsidRDefault="00CE6793" w:rsidP="005B0E26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sectPr w:rsidR="00CE6793" w:rsidRPr="00D2433D" w:rsidSect="00D2433D">
          <w:footerReference w:type="default" r:id="rId7"/>
          <w:pgSz w:w="12240" w:h="15840"/>
          <w:pgMar w:top="720" w:right="720" w:bottom="720" w:left="720" w:header="432" w:footer="576" w:gutter="0"/>
          <w:pgBorders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20"/>
          <w:docGrid w:linePitch="360"/>
        </w:sectPr>
      </w:pPr>
    </w:p>
    <w:p w14:paraId="53568D1A" w14:textId="77777777" w:rsidR="006F57F7" w:rsidRPr="00D2433D" w:rsidRDefault="006F57F7" w:rsidP="005B0E26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3A6FF211" w14:textId="77777777" w:rsidR="005B0E26" w:rsidRPr="00D2433D" w:rsidRDefault="005B0E26" w:rsidP="005B0E26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Advisory Hearing</w:t>
      </w:r>
    </w:p>
    <w:p w14:paraId="73A644EC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determine whether sufficient evidence exists</w:t>
      </w:r>
    </w:p>
    <w:p w14:paraId="4CAF0E44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-To find probable cause that the defendant </w:t>
      </w:r>
    </w:p>
    <w:p w14:paraId="72C31C58" w14:textId="67DCF172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committed the offense</w:t>
      </w:r>
    </w:p>
    <w:p w14:paraId="42234D69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-Must be held within 24 hours of the petition</w:t>
      </w:r>
    </w:p>
    <w:p w14:paraId="5F5D8F48" w14:textId="7A609FBC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being filed</w:t>
      </w:r>
    </w:p>
    <w:p w14:paraId="234EAAB4" w14:textId="77777777" w:rsidR="005B0E26" w:rsidRPr="00D2433D" w:rsidRDefault="005B0E26" w:rsidP="006F57F7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</w:p>
    <w:p w14:paraId="1BF7844C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Adjudication Hearing</w:t>
      </w:r>
    </w:p>
    <w:p w14:paraId="019B2756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-To prove ‘beyond a reasonable doubt’ </w:t>
      </w:r>
    </w:p>
    <w:p w14:paraId="3840CBE9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that the defendant committed the charge filed </w:t>
      </w:r>
    </w:p>
    <w:p w14:paraId="28DB6FEE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against him</w:t>
      </w:r>
    </w:p>
    <w:p w14:paraId="0561CAF1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-Must be held within 30 days of the initial </w:t>
      </w:r>
    </w:p>
    <w:p w14:paraId="13B32BFC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hearing, if detained (in juvenile detention)</w:t>
      </w:r>
    </w:p>
    <w:p w14:paraId="5BAB315F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-Must be held within 60 days of the initial </w:t>
      </w:r>
    </w:p>
    <w:p w14:paraId="5191E6A6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hearing, if not detained</w:t>
      </w:r>
    </w:p>
    <w:p w14:paraId="654A3FAD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</w:p>
    <w:p w14:paraId="6C79B3BA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Disposition Hearing</w:t>
      </w:r>
    </w:p>
    <w:p w14:paraId="13F0C548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-To provide a consequence for all juveniles </w:t>
      </w:r>
    </w:p>
    <w:p w14:paraId="16CD256A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found delinquent or who admit delinquency </w:t>
      </w:r>
    </w:p>
    <w:p w14:paraId="57210735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at a previous hearing</w:t>
      </w:r>
    </w:p>
    <w:p w14:paraId="291E62D5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-Must be held within 30 days after the </w:t>
      </w:r>
    </w:p>
    <w:p w14:paraId="0DC25269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adjudication if detained</w:t>
      </w:r>
    </w:p>
    <w:p w14:paraId="72E02F21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-Must be held within 45 days after the </w:t>
      </w:r>
    </w:p>
    <w:p w14:paraId="1D7CEC8B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adjudication, if not detained</w:t>
      </w:r>
    </w:p>
    <w:p w14:paraId="5C8B452B" w14:textId="00AADCFA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-Usually there is no jury</w:t>
      </w:r>
      <w:r w:rsidR="00952384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. I</w:t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nstead</w:t>
      </w:r>
      <w:r w:rsidR="00952384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,</w:t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the judge </w:t>
      </w:r>
    </w:p>
    <w:p w14:paraId="65E9770F" w14:textId="77777777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alone decides both whether the law was broken</w:t>
      </w:r>
    </w:p>
    <w:p w14:paraId="48895EA1" w14:textId="19480125" w:rsidR="005B0E26" w:rsidRPr="00D2433D" w:rsidRDefault="005B0E26" w:rsidP="005B0E26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and what the punishment will be.</w:t>
      </w:r>
    </w:p>
    <w:p w14:paraId="59001AB5" w14:textId="77777777" w:rsidR="005B0E26" w:rsidRPr="00D2433D" w:rsidRDefault="005B0E26" w:rsidP="005B0E26">
      <w:pPr>
        <w:jc w:val="both"/>
        <w:rPr>
          <w:sz w:val="20"/>
          <w:szCs w:val="20"/>
        </w:rPr>
      </w:pPr>
    </w:p>
    <w:p w14:paraId="740D71E2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42D6ED07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4A4FFE2F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79D72657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4DE6CC91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2A42C559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5E99A5AC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4775961E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050CE68D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0F93B0A2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2FEBEF46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</w:pPr>
    </w:p>
    <w:p w14:paraId="094721A8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Initial Appearance Hearing</w:t>
      </w:r>
    </w:p>
    <w:p w14:paraId="08E2D99D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ascertain the suspects true name and address</w:t>
      </w:r>
    </w:p>
    <w:p w14:paraId="01C31CA1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inform defendant of charges</w:t>
      </w:r>
    </w:p>
    <w:p w14:paraId="352DEFA1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inform defendant of the right to counsel and to</w:t>
      </w:r>
    </w:p>
    <w:p w14:paraId="3E4ED499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remain silent</w:t>
      </w:r>
    </w:p>
    <w:p w14:paraId="713ECBA5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-Appoint an attorney, if defendant is unable to pay</w:t>
      </w:r>
    </w:p>
    <w:p w14:paraId="11175F85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for one</w:t>
      </w:r>
    </w:p>
    <w:p w14:paraId="48B83E6B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-Determine the conditions of release and set date</w:t>
      </w:r>
    </w:p>
    <w:p w14:paraId="5F3F6530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for next hearing</w:t>
      </w:r>
    </w:p>
    <w:p w14:paraId="1E19C5DF" w14:textId="22278FE3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-Must be held within 24 hours of arrest</w:t>
      </w:r>
    </w:p>
    <w:p w14:paraId="5DC8B0E9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</w:p>
    <w:p w14:paraId="7737BD9F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Preliminary Hearing</w:t>
      </w:r>
    </w:p>
    <w:p w14:paraId="30727AF1" w14:textId="62C7B966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determine probable cause. If probable cause is</w:t>
      </w:r>
    </w:p>
    <w:p w14:paraId="32E344E5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not established, then charges dismissed and</w:t>
      </w:r>
    </w:p>
    <w:p w14:paraId="53D6DAC2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defendant released</w:t>
      </w:r>
    </w:p>
    <w:p w14:paraId="74932EF2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-Must be held within 10 days of the initial</w:t>
      </w:r>
    </w:p>
    <w:p w14:paraId="4D7CFE63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appearance if the defendant is in custody (jail)</w:t>
      </w:r>
    </w:p>
    <w:p w14:paraId="4F37FB33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-Must be held within 20 days of initial appearance if</w:t>
      </w:r>
    </w:p>
    <w:p w14:paraId="31ACA833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 the defendant is not in custody</w:t>
      </w:r>
    </w:p>
    <w:p w14:paraId="47BD69BE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</w:p>
    <w:p w14:paraId="488E8739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Arraignment</w:t>
      </w:r>
    </w:p>
    <w:p w14:paraId="1EE67073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affirm the identity of defendant</w:t>
      </w:r>
    </w:p>
    <w:p w14:paraId="09749DFC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-To advise of charges </w:t>
      </w:r>
    </w:p>
    <w:p w14:paraId="59DD747B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advise of rights</w:t>
      </w:r>
    </w:p>
    <w:p w14:paraId="1FCA8BC5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-Defendant enters plea (guilty or not guilty)</w:t>
      </w:r>
    </w:p>
    <w:p w14:paraId="3860CC6C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set a date for next hearing</w:t>
      </w:r>
    </w:p>
    <w:p w14:paraId="748F2C7D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-To determine terms of release</w:t>
      </w:r>
    </w:p>
    <w:p w14:paraId="33AAAEC6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-Must be held within 10 days of preliminary hearing</w:t>
      </w:r>
    </w:p>
    <w:p w14:paraId="35FFA30B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</w:p>
    <w:p w14:paraId="2B1EB0EB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Trial</w:t>
      </w:r>
    </w:p>
    <w:p w14:paraId="5375EBA1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</w:t>
      </w:r>
      <w:r w:rsidR="00CE6793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The burden of proof is ‘beyond a reasonable doubt’</w:t>
      </w:r>
    </w:p>
    <w:p w14:paraId="6DDD6B88" w14:textId="77777777" w:rsidR="006F57F7" w:rsidRPr="00D2433D" w:rsidRDefault="00CE6793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="006F57F7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that the defendant committed the offense for which</w:t>
      </w:r>
    </w:p>
    <w:p w14:paraId="62733DC2" w14:textId="77777777" w:rsidR="00CE6793" w:rsidRPr="00D2433D" w:rsidRDefault="006F57F7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="00CE6793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they are charged, or some ‘lesser’ offense.</w:t>
      </w:r>
    </w:p>
    <w:p w14:paraId="7A153754" w14:textId="5B6DAB0D" w:rsidR="00CE6793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</w:t>
      </w:r>
      <w:r w:rsidR="00CE6793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Must be held within 90 days of the arraignment</w:t>
      </w:r>
    </w:p>
    <w:p w14:paraId="1AF89B63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</w:p>
    <w:p w14:paraId="4E6DE0D5" w14:textId="77777777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  <w:u w:val="single"/>
        </w:rPr>
        <w:t>Sentencing</w:t>
      </w:r>
    </w:p>
    <w:p w14:paraId="68572A3C" w14:textId="77777777" w:rsidR="006F57F7" w:rsidRPr="00D2433D" w:rsidRDefault="006F57F7" w:rsidP="00CE6793">
      <w:pPr>
        <w:pStyle w:val="NormalWeb"/>
        <w:spacing w:before="0" w:beforeAutospacing="0" w:after="0" w:afterAutospacing="0"/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</w:t>
      </w:r>
      <w:r w:rsidR="00CE6793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Based on the information contained in the pre-sentence</w:t>
      </w:r>
    </w:p>
    <w:p w14:paraId="72FC3E59" w14:textId="23207844" w:rsidR="00CE6793" w:rsidRPr="00D2433D" w:rsidRDefault="00CE6793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="006F57F7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 xml:space="preserve"> </w:t>
      </w: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investigation, the court imposes or suspends sentencing</w:t>
      </w:r>
      <w:r w:rsidR="00952384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.</w:t>
      </w:r>
    </w:p>
    <w:p w14:paraId="51F0D484" w14:textId="3CB344DF" w:rsidR="00CE6793" w:rsidRPr="00D2433D" w:rsidRDefault="006F57F7" w:rsidP="00CE6793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-</w:t>
      </w:r>
      <w:r w:rsidR="00CE6793" w:rsidRPr="00D2433D">
        <w:rPr>
          <w:rFonts w:asciiTheme="minorHAnsi" w:eastAsiaTheme="minorEastAsia" w:hAnsiTheme="minorHAnsi" w:cstheme="minorBidi"/>
          <w:color w:val="000000" w:themeColor="text1"/>
          <w:kern w:val="24"/>
          <w:sz w:val="20"/>
          <w:szCs w:val="20"/>
        </w:rPr>
        <w:t>Must be held within 15-30 days of the trial</w:t>
      </w:r>
    </w:p>
    <w:sectPr w:rsidR="00CE6793" w:rsidRPr="00D2433D" w:rsidSect="00CF3AD0">
      <w:type w:val="continuous"/>
      <w:pgSz w:w="12240" w:h="15840"/>
      <w:pgMar w:top="720" w:right="720" w:bottom="720" w:left="72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6ACE3" w14:textId="77777777" w:rsidR="00D2433D" w:rsidRDefault="00D2433D" w:rsidP="00D2433D">
      <w:pPr>
        <w:spacing w:after="0" w:line="240" w:lineRule="auto"/>
      </w:pPr>
      <w:r>
        <w:separator/>
      </w:r>
    </w:p>
  </w:endnote>
  <w:endnote w:type="continuationSeparator" w:id="0">
    <w:p w14:paraId="4EE7B74A" w14:textId="77777777" w:rsidR="00D2433D" w:rsidRDefault="00D2433D" w:rsidP="00D243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2E760" w14:textId="21C79C28" w:rsidR="00D2433D" w:rsidRPr="00D2433D" w:rsidRDefault="00D2433D" w:rsidP="00D2433D">
    <w:pPr>
      <w:pStyle w:val="Footer"/>
      <w:pBdr>
        <w:top w:val="thinThickSmallGap" w:sz="24" w:space="1" w:color="823B0B"/>
      </w:pBdr>
      <w:tabs>
        <w:tab w:val="clear" w:pos="4680"/>
        <w:tab w:val="clear" w:pos="9360"/>
        <w:tab w:val="right" w:pos="10800"/>
      </w:tabs>
      <w:rPr>
        <w:rFonts w:eastAsia="Times New Roman"/>
        <w:sz w:val="24"/>
        <w:szCs w:val="24"/>
      </w:rPr>
    </w:pPr>
    <w:r>
      <w:rPr>
        <w:rFonts w:eastAsia="Times New Roman"/>
        <w:sz w:val="24"/>
        <w:szCs w:val="24"/>
      </w:rPr>
      <w:t>Arizona Foundation for Legal Services and Education                           March 2022</w:t>
    </w:r>
    <w:r>
      <w:rPr>
        <w:rFonts w:eastAsia="Times New Roman"/>
        <w:sz w:val="24"/>
        <w:szCs w:val="24"/>
      </w:rPr>
      <w:tab/>
      <w:t xml:space="preserve">Page </w:t>
    </w:r>
    <w:r>
      <w:rPr>
        <w:rFonts w:eastAsia="Times New Roman"/>
        <w:sz w:val="24"/>
        <w:szCs w:val="24"/>
      </w:rPr>
      <w:fldChar w:fldCharType="begin"/>
    </w:r>
    <w:r>
      <w:rPr>
        <w:sz w:val="24"/>
        <w:szCs w:val="24"/>
      </w:rPr>
      <w:instrText xml:space="preserve"> PAGE   \* MERGEFORMAT </w:instrText>
    </w:r>
    <w:r>
      <w:rPr>
        <w:rFonts w:eastAsia="Times New Roman"/>
        <w:sz w:val="24"/>
        <w:szCs w:val="24"/>
      </w:rPr>
      <w:fldChar w:fldCharType="separate"/>
    </w:r>
    <w:r>
      <w:rPr>
        <w:rFonts w:eastAsia="Times New Roman"/>
        <w:sz w:val="24"/>
        <w:szCs w:val="24"/>
      </w:rPr>
      <w:t>1</w:t>
    </w:r>
    <w:r>
      <w:rPr>
        <w:rFonts w:eastAsia="Times New Roman"/>
        <w:noProof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31F3F" w14:textId="77777777" w:rsidR="00D2433D" w:rsidRDefault="00D2433D" w:rsidP="00D2433D">
      <w:pPr>
        <w:spacing w:after="0" w:line="240" w:lineRule="auto"/>
      </w:pPr>
      <w:r>
        <w:separator/>
      </w:r>
    </w:p>
  </w:footnote>
  <w:footnote w:type="continuationSeparator" w:id="0">
    <w:p w14:paraId="620B3573" w14:textId="77777777" w:rsidR="00D2433D" w:rsidRDefault="00D2433D" w:rsidP="00D243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E26"/>
    <w:rsid w:val="00070665"/>
    <w:rsid w:val="001C782E"/>
    <w:rsid w:val="00211499"/>
    <w:rsid w:val="005B0E26"/>
    <w:rsid w:val="006F57F7"/>
    <w:rsid w:val="008D7978"/>
    <w:rsid w:val="00952384"/>
    <w:rsid w:val="009F6D6D"/>
    <w:rsid w:val="00CE6793"/>
    <w:rsid w:val="00CF3AD0"/>
    <w:rsid w:val="00D2433D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97510"/>
  <w15:docId w15:val="{26AA1CB1-42E5-44FA-B92C-46C494118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0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0E2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5B0E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243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433D"/>
  </w:style>
  <w:style w:type="paragraph" w:styleId="Footer">
    <w:name w:val="footer"/>
    <w:basedOn w:val="Normal"/>
    <w:link w:val="FooterChar"/>
    <w:uiPriority w:val="99"/>
    <w:unhideWhenUsed/>
    <w:rsid w:val="00D243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43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26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6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Deepika Padmavati</cp:lastModifiedBy>
  <cp:revision>7</cp:revision>
  <dcterms:created xsi:type="dcterms:W3CDTF">2014-02-27T22:50:00Z</dcterms:created>
  <dcterms:modified xsi:type="dcterms:W3CDTF">2022-03-08T23:23:00Z</dcterms:modified>
</cp:coreProperties>
</file>