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A149AA" w14:textId="77777777" w:rsidR="00EB37FB" w:rsidRDefault="00EB37FB" w:rsidP="00B03C0A">
      <w:pPr>
        <w:jc w:val="center"/>
        <w:rPr>
          <w:b/>
          <w:sz w:val="28"/>
          <w:szCs w:val="28"/>
          <w:u w:val="single"/>
        </w:rPr>
      </w:pPr>
      <w:r>
        <w:rPr>
          <w:rFonts w:eastAsia="Times New Roman" w:cs="Tahoma"/>
          <w:b/>
          <w:noProof/>
          <w:szCs w:val="24"/>
        </w:rPr>
        <w:drawing>
          <wp:inline distT="0" distB="0" distL="0" distR="0" wp14:anchorId="598A82A7" wp14:editId="31C329CB">
            <wp:extent cx="2044700" cy="948690"/>
            <wp:effectExtent l="0" t="0" r="0" b="381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44700" cy="948690"/>
                    </a:xfrm>
                    <a:prstGeom prst="rect">
                      <a:avLst/>
                    </a:prstGeom>
                    <a:noFill/>
                    <a:ln>
                      <a:noFill/>
                    </a:ln>
                  </pic:spPr>
                </pic:pic>
              </a:graphicData>
            </a:graphic>
          </wp:inline>
        </w:drawing>
      </w:r>
    </w:p>
    <w:p w14:paraId="0D93FF7D" w14:textId="41FE0CFD" w:rsidR="00AE46E8" w:rsidRPr="007155A3" w:rsidRDefault="00AE46E8" w:rsidP="00AE46E8">
      <w:pPr>
        <w:pBdr>
          <w:bottom w:val="single" w:sz="4" w:space="3" w:color="auto"/>
        </w:pBdr>
        <w:spacing w:after="0" w:line="240" w:lineRule="auto"/>
        <w:jc w:val="center"/>
        <w:rPr>
          <w:rFonts w:ascii="Calibri" w:eastAsia="Calibri" w:hAnsi="Calibri" w:cs="Calibri"/>
          <w:sz w:val="20"/>
          <w:szCs w:val="20"/>
        </w:rPr>
      </w:pPr>
      <w:r w:rsidRPr="007155A3">
        <w:rPr>
          <w:rFonts w:ascii="Calibri" w:eastAsia="Calibri" w:hAnsi="Calibri" w:cs="Calibri"/>
          <w:sz w:val="20"/>
          <w:szCs w:val="20"/>
        </w:rPr>
        <w:t>The Law-Related Education Academy is sponsored by the Arizona Foundation for Legal Services &amp; Education</w:t>
      </w:r>
      <w:r w:rsidR="007155A3" w:rsidRPr="007155A3">
        <w:rPr>
          <w:rFonts w:ascii="Calibri" w:eastAsia="Calibri" w:hAnsi="Calibri" w:cs="Calibri"/>
          <w:sz w:val="20"/>
          <w:szCs w:val="20"/>
        </w:rPr>
        <w:t xml:space="preserve"> with f</w:t>
      </w:r>
      <w:r w:rsidRPr="007155A3">
        <w:rPr>
          <w:rFonts w:ascii="Calibri" w:eastAsia="Calibri" w:hAnsi="Calibri" w:cs="Calibri"/>
          <w:sz w:val="20"/>
          <w:szCs w:val="20"/>
        </w:rPr>
        <w:t>unding made possible by the Arizona Supreme Court.</w:t>
      </w:r>
    </w:p>
    <w:p w14:paraId="01BD144A" w14:textId="77777777" w:rsidR="00EB37FB" w:rsidRDefault="00EB37FB" w:rsidP="00EB37FB">
      <w:pPr>
        <w:spacing w:after="0" w:line="240" w:lineRule="auto"/>
        <w:jc w:val="center"/>
        <w:rPr>
          <w:rFonts w:ascii="Calibri" w:eastAsia="Calibri" w:hAnsi="Calibri" w:cs="Calibri"/>
          <w:b/>
          <w:bCs/>
          <w:sz w:val="24"/>
          <w:szCs w:val="24"/>
        </w:rPr>
      </w:pPr>
    </w:p>
    <w:p w14:paraId="4DBFFEFF" w14:textId="3530840E" w:rsidR="00EB37FB" w:rsidRDefault="007155A3" w:rsidP="00EB37FB">
      <w:pPr>
        <w:spacing w:after="0" w:line="240" w:lineRule="auto"/>
        <w:jc w:val="center"/>
        <w:rPr>
          <w:rFonts w:ascii="Calibri" w:eastAsia="Calibri" w:hAnsi="Calibri" w:cs="Calibri"/>
          <w:b/>
          <w:bCs/>
          <w:sz w:val="24"/>
          <w:szCs w:val="24"/>
        </w:rPr>
      </w:pPr>
      <w:r>
        <w:rPr>
          <w:rFonts w:ascii="Calibri" w:eastAsia="Calibri" w:hAnsi="Calibri" w:cs="Calibri"/>
          <w:b/>
          <w:bCs/>
          <w:sz w:val="24"/>
          <w:szCs w:val="24"/>
        </w:rPr>
        <w:t>"</w:t>
      </w:r>
      <w:r w:rsidR="00EB37FB" w:rsidRPr="00EB37FB">
        <w:rPr>
          <w:rFonts w:ascii="Calibri" w:eastAsia="Calibri" w:hAnsi="Calibri" w:cs="Calibri"/>
          <w:b/>
          <w:bCs/>
          <w:sz w:val="24"/>
          <w:szCs w:val="24"/>
        </w:rPr>
        <w:t>When You Turn 18</w:t>
      </w:r>
      <w:r>
        <w:rPr>
          <w:rFonts w:ascii="Calibri" w:eastAsia="Calibri" w:hAnsi="Calibri" w:cs="Calibri"/>
          <w:b/>
          <w:bCs/>
          <w:sz w:val="24"/>
          <w:szCs w:val="24"/>
        </w:rPr>
        <w:t xml:space="preserve">” </w:t>
      </w:r>
      <w:r w:rsidR="00EB37FB" w:rsidRPr="00EB37FB">
        <w:rPr>
          <w:rFonts w:ascii="Calibri" w:eastAsia="Calibri" w:hAnsi="Calibri" w:cs="Calibri"/>
          <w:b/>
          <w:bCs/>
          <w:sz w:val="24"/>
          <w:szCs w:val="24"/>
        </w:rPr>
        <w:t>Academy</w:t>
      </w:r>
    </w:p>
    <w:p w14:paraId="2146DD69" w14:textId="0A85E89C" w:rsidR="007155A3" w:rsidRPr="007155A3" w:rsidRDefault="007155A3" w:rsidP="00EB37FB">
      <w:pPr>
        <w:spacing w:after="0" w:line="240" w:lineRule="auto"/>
        <w:jc w:val="center"/>
        <w:rPr>
          <w:rFonts w:ascii="Calibri" w:eastAsia="Calibri" w:hAnsi="Calibri" w:cs="Calibri"/>
          <w:sz w:val="24"/>
          <w:szCs w:val="24"/>
          <w:u w:val="single"/>
        </w:rPr>
      </w:pPr>
      <w:r w:rsidRPr="007155A3">
        <w:rPr>
          <w:rFonts w:ascii="Calibri" w:eastAsia="Calibri" w:hAnsi="Calibri" w:cs="Calibri"/>
          <w:sz w:val="24"/>
          <w:szCs w:val="24"/>
        </w:rPr>
        <w:t>(High School)</w:t>
      </w:r>
    </w:p>
    <w:p w14:paraId="59A66B9B" w14:textId="77777777" w:rsidR="00EB37FB" w:rsidRDefault="00EB37FB" w:rsidP="00EB37FB">
      <w:pPr>
        <w:spacing w:after="0" w:line="240" w:lineRule="auto"/>
        <w:jc w:val="center"/>
        <w:rPr>
          <w:rFonts w:ascii="Calibri" w:eastAsia="Calibri" w:hAnsi="Calibri" w:cs="Calibri"/>
          <w:b/>
          <w:bCs/>
          <w:sz w:val="24"/>
          <w:szCs w:val="24"/>
        </w:rPr>
      </w:pPr>
      <w:r w:rsidRPr="00EB37FB">
        <w:rPr>
          <w:rFonts w:ascii="Calibri" w:eastAsia="Calibri" w:hAnsi="Calibri" w:cs="Calibri"/>
          <w:b/>
          <w:bCs/>
          <w:sz w:val="24"/>
          <w:szCs w:val="24"/>
        </w:rPr>
        <w:t>“Juvenile vs. Adult Justice System”</w:t>
      </w:r>
    </w:p>
    <w:p w14:paraId="690B9198" w14:textId="4F849757" w:rsidR="00B03C0A" w:rsidRPr="007155A3" w:rsidRDefault="00B03C0A" w:rsidP="007155A3">
      <w:pPr>
        <w:jc w:val="center"/>
        <w:rPr>
          <w:b/>
          <w:sz w:val="24"/>
          <w:szCs w:val="24"/>
        </w:rPr>
      </w:pPr>
      <w:r w:rsidRPr="007155A3">
        <w:rPr>
          <w:b/>
          <w:sz w:val="24"/>
          <w:szCs w:val="24"/>
        </w:rPr>
        <w:t>Juvenile v</w:t>
      </w:r>
      <w:r w:rsidR="00F63748">
        <w:rPr>
          <w:b/>
          <w:sz w:val="24"/>
          <w:szCs w:val="24"/>
        </w:rPr>
        <w:t>s</w:t>
      </w:r>
      <w:r w:rsidRPr="007155A3">
        <w:rPr>
          <w:b/>
          <w:sz w:val="24"/>
          <w:szCs w:val="24"/>
        </w:rPr>
        <w:t>. Adult Scenarios</w:t>
      </w:r>
      <w:r w:rsidR="002D5AEF" w:rsidRPr="007155A3">
        <w:rPr>
          <w:b/>
          <w:sz w:val="24"/>
          <w:szCs w:val="24"/>
        </w:rPr>
        <w:t xml:space="preserve"> </w:t>
      </w:r>
      <w:r w:rsidR="00EB37FB" w:rsidRPr="007155A3">
        <w:rPr>
          <w:b/>
          <w:sz w:val="24"/>
          <w:szCs w:val="24"/>
        </w:rPr>
        <w:t>with</w:t>
      </w:r>
      <w:r w:rsidR="002D5AEF" w:rsidRPr="007155A3">
        <w:rPr>
          <w:b/>
          <w:sz w:val="24"/>
          <w:szCs w:val="24"/>
        </w:rPr>
        <w:t xml:space="preserve"> Laws</w:t>
      </w:r>
    </w:p>
    <w:p w14:paraId="7BDD6AAD" w14:textId="77777777" w:rsidR="00943638" w:rsidRPr="00A50166" w:rsidRDefault="00943638" w:rsidP="00943638">
      <w:pPr>
        <w:rPr>
          <w:sz w:val="24"/>
        </w:rPr>
      </w:pPr>
      <w:r w:rsidRPr="00A50166">
        <w:rPr>
          <w:sz w:val="24"/>
        </w:rPr>
        <w:t>1. Johnny committed a few crimes as a youth but isn’t worried about it because he’s about to turn 18 and his juvenile records will be sealed (not public record). Is Johnny correct? Why or why not?</w:t>
      </w:r>
    </w:p>
    <w:p w14:paraId="785275B7" w14:textId="77777777" w:rsidR="00943638" w:rsidRPr="00A50166" w:rsidRDefault="00943638" w:rsidP="00943638">
      <w:pPr>
        <w:rPr>
          <w:b/>
          <w:sz w:val="24"/>
        </w:rPr>
      </w:pPr>
      <w:r w:rsidRPr="00A50166">
        <w:rPr>
          <w:b/>
          <w:sz w:val="24"/>
        </w:rPr>
        <w:t xml:space="preserve">Answer: No. A record can be sealed either by law or by motion, but records including juvenile records are not automatically sealed. Certain information within a record, such as </w:t>
      </w:r>
      <w:r w:rsidR="00E14619" w:rsidRPr="00A50166">
        <w:rPr>
          <w:b/>
          <w:sz w:val="24"/>
        </w:rPr>
        <w:t>victims’</w:t>
      </w:r>
      <w:r w:rsidRPr="00A50166">
        <w:rPr>
          <w:b/>
          <w:sz w:val="24"/>
        </w:rPr>
        <w:t xml:space="preserve"> information is usually sealed by the court.</w:t>
      </w:r>
    </w:p>
    <w:p w14:paraId="0E7AEBE3" w14:textId="77777777" w:rsidR="00943638" w:rsidRPr="00A50166" w:rsidRDefault="00943638" w:rsidP="00943638">
      <w:pPr>
        <w:rPr>
          <w:color w:val="FF0000"/>
          <w:sz w:val="24"/>
        </w:rPr>
      </w:pPr>
      <w:r w:rsidRPr="00A50166">
        <w:rPr>
          <w:color w:val="FF0000"/>
          <w:sz w:val="24"/>
        </w:rPr>
        <w:t>A.R.S. § 8-208</w:t>
      </w:r>
    </w:p>
    <w:p w14:paraId="1CB8276D" w14:textId="77777777" w:rsidR="00943638" w:rsidRPr="00A50166" w:rsidRDefault="00943638" w:rsidP="00943638">
      <w:pPr>
        <w:rPr>
          <w:color w:val="FF0000"/>
          <w:sz w:val="24"/>
        </w:rPr>
      </w:pPr>
      <w:r w:rsidRPr="00A50166">
        <w:rPr>
          <w:color w:val="FF0000"/>
          <w:sz w:val="24"/>
        </w:rPr>
        <w:t>§ 8-208. Juvenile court records; public inspection; exceptions</w:t>
      </w:r>
    </w:p>
    <w:p w14:paraId="5FCD50C5" w14:textId="77777777" w:rsidR="00943638" w:rsidRPr="00A50166" w:rsidRDefault="00943638" w:rsidP="00943638">
      <w:pPr>
        <w:rPr>
          <w:color w:val="FF0000"/>
          <w:sz w:val="24"/>
        </w:rPr>
      </w:pPr>
      <w:r w:rsidRPr="00A50166">
        <w:rPr>
          <w:color w:val="FF0000"/>
          <w:sz w:val="24"/>
        </w:rPr>
        <w:t>A. The following records relating to a juvenile who is referred to juvenile court are open to public inspection:</w:t>
      </w:r>
    </w:p>
    <w:p w14:paraId="62A07D0A" w14:textId="77777777" w:rsidR="00943638" w:rsidRPr="00A50166" w:rsidRDefault="00943638" w:rsidP="00943638">
      <w:pPr>
        <w:ind w:left="720"/>
        <w:rPr>
          <w:color w:val="FF0000"/>
          <w:sz w:val="24"/>
        </w:rPr>
      </w:pPr>
      <w:r w:rsidRPr="00A50166">
        <w:rPr>
          <w:color w:val="FF0000"/>
          <w:sz w:val="24"/>
        </w:rPr>
        <w:t>1. Referrals involving delinquent acts, after the referrals have been made to the juvenile court or the county attorney has diverted the matter according to § 8-321.</w:t>
      </w:r>
    </w:p>
    <w:p w14:paraId="41E9E2EA" w14:textId="77777777" w:rsidR="00943638" w:rsidRPr="00A50166" w:rsidRDefault="00943638" w:rsidP="00943638">
      <w:pPr>
        <w:ind w:firstLine="720"/>
        <w:rPr>
          <w:color w:val="FF0000"/>
          <w:sz w:val="24"/>
        </w:rPr>
      </w:pPr>
      <w:r w:rsidRPr="00A50166">
        <w:rPr>
          <w:color w:val="FF0000"/>
          <w:sz w:val="24"/>
        </w:rPr>
        <w:t>2. Arrest records, after the juvenile is an accused as defined by § 13-501.</w:t>
      </w:r>
    </w:p>
    <w:p w14:paraId="44B315A1" w14:textId="77777777" w:rsidR="00943638" w:rsidRPr="00A50166" w:rsidRDefault="00943638" w:rsidP="00943638">
      <w:pPr>
        <w:ind w:firstLine="720"/>
        <w:rPr>
          <w:color w:val="FF0000"/>
          <w:sz w:val="24"/>
        </w:rPr>
      </w:pPr>
      <w:r w:rsidRPr="00A50166">
        <w:rPr>
          <w:color w:val="FF0000"/>
          <w:sz w:val="24"/>
        </w:rPr>
        <w:t>3. Delinquency hearings.</w:t>
      </w:r>
    </w:p>
    <w:p w14:paraId="2551AD89" w14:textId="77777777" w:rsidR="00943638" w:rsidRPr="00A50166" w:rsidRDefault="00943638" w:rsidP="00943638">
      <w:pPr>
        <w:ind w:firstLine="720"/>
        <w:rPr>
          <w:color w:val="FF0000"/>
          <w:sz w:val="24"/>
        </w:rPr>
      </w:pPr>
      <w:r w:rsidRPr="00A50166">
        <w:rPr>
          <w:color w:val="FF0000"/>
          <w:sz w:val="24"/>
        </w:rPr>
        <w:t>4. Disposition hearings.</w:t>
      </w:r>
    </w:p>
    <w:p w14:paraId="497B37C3" w14:textId="77777777" w:rsidR="00943638" w:rsidRPr="00A50166" w:rsidRDefault="00943638" w:rsidP="00943638">
      <w:pPr>
        <w:ind w:firstLine="720"/>
        <w:rPr>
          <w:color w:val="FF0000"/>
          <w:sz w:val="24"/>
        </w:rPr>
      </w:pPr>
      <w:r w:rsidRPr="00A50166">
        <w:rPr>
          <w:color w:val="FF0000"/>
          <w:sz w:val="24"/>
        </w:rPr>
        <w:t>5. A summary of delinquency, disposition and transfer hearings.</w:t>
      </w:r>
    </w:p>
    <w:p w14:paraId="17170943" w14:textId="77777777" w:rsidR="00943638" w:rsidRPr="00A50166" w:rsidRDefault="00943638" w:rsidP="00943638">
      <w:pPr>
        <w:ind w:firstLine="720"/>
        <w:rPr>
          <w:color w:val="FF0000"/>
          <w:sz w:val="24"/>
        </w:rPr>
      </w:pPr>
      <w:r w:rsidRPr="00A50166">
        <w:rPr>
          <w:color w:val="FF0000"/>
          <w:sz w:val="24"/>
        </w:rPr>
        <w:t>6. Revocation of probation hearings</w:t>
      </w:r>
    </w:p>
    <w:p w14:paraId="69CB0583" w14:textId="77777777" w:rsidR="00943638" w:rsidRPr="00A50166" w:rsidRDefault="00943638" w:rsidP="00943638">
      <w:pPr>
        <w:ind w:firstLine="720"/>
        <w:rPr>
          <w:color w:val="FF0000"/>
          <w:sz w:val="24"/>
        </w:rPr>
      </w:pPr>
      <w:r w:rsidRPr="00A50166">
        <w:rPr>
          <w:color w:val="FF0000"/>
          <w:sz w:val="24"/>
        </w:rPr>
        <w:t>7. Appellate review.</w:t>
      </w:r>
    </w:p>
    <w:p w14:paraId="2C9F58F2" w14:textId="77777777" w:rsidR="00943638" w:rsidRPr="00A50166" w:rsidRDefault="00943638" w:rsidP="00943638">
      <w:pPr>
        <w:ind w:firstLine="720"/>
        <w:rPr>
          <w:color w:val="FF0000"/>
          <w:sz w:val="24"/>
        </w:rPr>
      </w:pPr>
      <w:r w:rsidRPr="00A50166">
        <w:rPr>
          <w:color w:val="FF0000"/>
          <w:sz w:val="24"/>
        </w:rPr>
        <w:t>8. Diversion proceedings involving delinquent acts.</w:t>
      </w:r>
    </w:p>
    <w:p w14:paraId="7823F408" w14:textId="77777777" w:rsidR="00943638" w:rsidRPr="00A50166" w:rsidRDefault="00943638" w:rsidP="00943638">
      <w:pPr>
        <w:rPr>
          <w:color w:val="FF0000"/>
          <w:sz w:val="24"/>
        </w:rPr>
      </w:pPr>
      <w:r w:rsidRPr="00A50166">
        <w:rPr>
          <w:color w:val="FF0000"/>
          <w:sz w:val="24"/>
        </w:rPr>
        <w:t>B. On the request of an adult probation officer or state or local prosecutor, the juvenile court shall release to an adult probation department or prosecutor all information in its possession concerning a person who is charged with a criminal offense.</w:t>
      </w:r>
    </w:p>
    <w:p w14:paraId="1655D8FC" w14:textId="77777777" w:rsidR="00943638" w:rsidRPr="00A50166" w:rsidRDefault="00943638" w:rsidP="00943638">
      <w:pPr>
        <w:rPr>
          <w:color w:val="FF0000"/>
          <w:sz w:val="24"/>
        </w:rPr>
      </w:pPr>
      <w:r w:rsidRPr="00A50166">
        <w:rPr>
          <w:color w:val="FF0000"/>
          <w:sz w:val="24"/>
        </w:rPr>
        <w:lastRenderedPageBreak/>
        <w:t>C. The juvenile court shall release all information in its possession concerning a person who is arrested for a criminal offense to superior court programs or departments, other court divisions or judges or as authorized by the superior court for the purpose of assisting in the determination of release from custody, bond and pretrial supervision</w:t>
      </w:r>
    </w:p>
    <w:p w14:paraId="7671FB9C" w14:textId="77777777" w:rsidR="00943638" w:rsidRPr="00A50166" w:rsidRDefault="00943638" w:rsidP="00943638">
      <w:pPr>
        <w:rPr>
          <w:color w:val="FF0000"/>
          <w:sz w:val="24"/>
        </w:rPr>
      </w:pPr>
      <w:r w:rsidRPr="00A50166">
        <w:rPr>
          <w:color w:val="FF0000"/>
          <w:sz w:val="24"/>
        </w:rPr>
        <w:t>D. On request by the appropriate jail authorities for the purpose of determining classification, treatment and security, the juvenile court shall release all information in its possession concerning persons who are under eighteen years of age, who have been transferred from juvenile court for criminal prosecution and who are being held in a county jail pending trial.</w:t>
      </w:r>
    </w:p>
    <w:p w14:paraId="0DCE7521" w14:textId="77777777" w:rsidR="00943638" w:rsidRPr="00A50166" w:rsidRDefault="00943638" w:rsidP="00943638">
      <w:pPr>
        <w:rPr>
          <w:color w:val="FF0000"/>
          <w:sz w:val="24"/>
        </w:rPr>
      </w:pPr>
      <w:r w:rsidRPr="00A50166">
        <w:rPr>
          <w:color w:val="FF0000"/>
          <w:sz w:val="24"/>
        </w:rPr>
        <w:t>E. The court shall edit the records to protect the identity of the victim or the immediate family of the victim if the victim has died as a result of the alleged offense.</w:t>
      </w:r>
    </w:p>
    <w:p w14:paraId="4470245E" w14:textId="77777777" w:rsidR="00943638" w:rsidRPr="00A50166" w:rsidRDefault="00943638" w:rsidP="00943638">
      <w:pPr>
        <w:rPr>
          <w:color w:val="FF0000"/>
          <w:sz w:val="24"/>
        </w:rPr>
      </w:pPr>
      <w:r w:rsidRPr="00A50166">
        <w:rPr>
          <w:color w:val="FF0000"/>
          <w:sz w:val="24"/>
        </w:rPr>
        <w:t>F. Except as otherwise provided by law, the records of an adoption, severance or dependency proceeding shall not be open to public inspection.</w:t>
      </w:r>
    </w:p>
    <w:p w14:paraId="1D2FF887" w14:textId="77777777" w:rsidR="00943638" w:rsidRPr="00A50166" w:rsidRDefault="00943638" w:rsidP="00943638">
      <w:pPr>
        <w:rPr>
          <w:color w:val="FF0000"/>
          <w:sz w:val="24"/>
        </w:rPr>
      </w:pPr>
      <w:r w:rsidRPr="00A50166">
        <w:rPr>
          <w:color w:val="FF0000"/>
          <w:sz w:val="24"/>
        </w:rPr>
        <w:t>G. The court may order that the records be kept confidential and withheld from public inspection if the court determines that the subject matter of any record involves a clear public interest in confidentiality.</w:t>
      </w:r>
    </w:p>
    <w:p w14:paraId="545E065E" w14:textId="77777777" w:rsidR="00943638" w:rsidRPr="00A50166" w:rsidRDefault="00943638" w:rsidP="00943638">
      <w:pPr>
        <w:rPr>
          <w:color w:val="FF0000"/>
          <w:sz w:val="24"/>
        </w:rPr>
      </w:pPr>
      <w:r w:rsidRPr="00A50166">
        <w:rPr>
          <w:color w:val="FF0000"/>
          <w:sz w:val="24"/>
        </w:rPr>
        <w:t>H. The disclosure of educational records received pursuant to § 15-141 shall comply with the family educational and privacy rights act of 1974 (20 United States Code § 1232g).</w:t>
      </w:r>
    </w:p>
    <w:p w14:paraId="36272E3F" w14:textId="70F2E5FA" w:rsidR="00943638" w:rsidRPr="00A50166" w:rsidRDefault="00A50166">
      <w:pPr>
        <w:rPr>
          <w:sz w:val="24"/>
        </w:rPr>
      </w:pPr>
      <w:r>
        <w:rPr>
          <w:sz w:val="24"/>
        </w:rPr>
        <w:pict w14:anchorId="316DA481">
          <v:rect id="_x0000_i1029" style="width:0;height:1.5pt" o:hralign="center" o:hrstd="t" o:hr="t" fillcolor="#a0a0a0" stroked="f"/>
        </w:pict>
      </w:r>
    </w:p>
    <w:p w14:paraId="18260885" w14:textId="7B53CC3C" w:rsidR="00414095" w:rsidRPr="00A50166" w:rsidRDefault="00414095">
      <w:pPr>
        <w:rPr>
          <w:sz w:val="24"/>
        </w:rPr>
      </w:pPr>
      <w:r w:rsidRPr="00A50166">
        <w:rPr>
          <w:sz w:val="24"/>
        </w:rPr>
        <w:t xml:space="preserve">2. When Jenna was 15, she and a few friends robbed an elderly woman by using a </w:t>
      </w:r>
      <w:r w:rsidR="00195EED" w:rsidRPr="00A50166">
        <w:rPr>
          <w:sz w:val="24"/>
        </w:rPr>
        <w:t>pocketknife</w:t>
      </w:r>
      <w:r w:rsidRPr="00A50166">
        <w:rPr>
          <w:sz w:val="24"/>
        </w:rPr>
        <w:t>. Can Jenna be charged as an adult for this crime?</w:t>
      </w:r>
    </w:p>
    <w:p w14:paraId="0621A3CC" w14:textId="1BC38825" w:rsidR="00414095" w:rsidRPr="00A50166" w:rsidRDefault="00414095">
      <w:pPr>
        <w:rPr>
          <w:b/>
          <w:sz w:val="24"/>
        </w:rPr>
      </w:pPr>
      <w:r w:rsidRPr="00A50166">
        <w:rPr>
          <w:b/>
          <w:sz w:val="24"/>
        </w:rPr>
        <w:t xml:space="preserve">Answer: Yes. Robbing someone with a </w:t>
      </w:r>
      <w:r w:rsidR="00195EED" w:rsidRPr="00A50166">
        <w:rPr>
          <w:b/>
          <w:sz w:val="24"/>
        </w:rPr>
        <w:t>pocketknife</w:t>
      </w:r>
      <w:r w:rsidRPr="00A50166">
        <w:rPr>
          <w:b/>
          <w:sz w:val="24"/>
        </w:rPr>
        <w:t xml:space="preserve"> is considered armed robbery. A juvenile can be charged as an adult if they are fifteen or older and commit a serious crime such as armed robbery, murder, rape, or other violent offenses. </w:t>
      </w:r>
    </w:p>
    <w:p w14:paraId="27CB2453" w14:textId="77777777" w:rsidR="0091776A" w:rsidRPr="00A50166" w:rsidRDefault="0091776A" w:rsidP="0091776A">
      <w:pPr>
        <w:rPr>
          <w:bCs/>
          <w:color w:val="FF0000"/>
          <w:sz w:val="24"/>
        </w:rPr>
      </w:pPr>
      <w:r w:rsidRPr="00A50166">
        <w:rPr>
          <w:bCs/>
          <w:color w:val="FF0000"/>
          <w:sz w:val="24"/>
        </w:rPr>
        <w:t>A.R.S. § 13-1904</w:t>
      </w:r>
    </w:p>
    <w:p w14:paraId="373D3AED" w14:textId="77777777" w:rsidR="0091776A" w:rsidRPr="00A50166" w:rsidRDefault="0091776A" w:rsidP="0091776A">
      <w:pPr>
        <w:rPr>
          <w:bCs/>
          <w:color w:val="FF0000"/>
          <w:sz w:val="24"/>
        </w:rPr>
      </w:pPr>
      <w:r w:rsidRPr="00A50166">
        <w:rPr>
          <w:bCs/>
          <w:color w:val="FF0000"/>
          <w:sz w:val="24"/>
        </w:rPr>
        <w:t>§ 13-1904. Armed robbery; classification</w:t>
      </w:r>
    </w:p>
    <w:p w14:paraId="430A6778" w14:textId="77777777" w:rsidR="0091776A" w:rsidRPr="00A50166" w:rsidRDefault="0091776A" w:rsidP="0091776A">
      <w:pPr>
        <w:rPr>
          <w:bCs/>
          <w:color w:val="FF0000"/>
          <w:sz w:val="24"/>
        </w:rPr>
      </w:pPr>
      <w:r w:rsidRPr="00A50166">
        <w:rPr>
          <w:bCs/>
          <w:color w:val="FF0000"/>
          <w:sz w:val="24"/>
        </w:rPr>
        <w:t>A. A person commits armed robbery if, in the course of committing robbery as defined in § 13-1902, such person or an accomplice:</w:t>
      </w:r>
    </w:p>
    <w:p w14:paraId="01304A7A" w14:textId="77777777" w:rsidR="0091776A" w:rsidRPr="00A50166" w:rsidRDefault="0091776A" w:rsidP="0091776A">
      <w:pPr>
        <w:ind w:firstLine="720"/>
        <w:rPr>
          <w:bCs/>
          <w:color w:val="FF0000"/>
          <w:sz w:val="24"/>
        </w:rPr>
      </w:pPr>
      <w:r w:rsidRPr="00A50166">
        <w:rPr>
          <w:bCs/>
          <w:color w:val="FF0000"/>
          <w:sz w:val="24"/>
        </w:rPr>
        <w:t>1. Is armed with a deadly weapon or a simulated deadly weapon; or</w:t>
      </w:r>
    </w:p>
    <w:p w14:paraId="34A5E2AB" w14:textId="77777777" w:rsidR="0091776A" w:rsidRPr="00A50166" w:rsidRDefault="0091776A" w:rsidP="0091776A">
      <w:pPr>
        <w:ind w:left="720"/>
        <w:rPr>
          <w:bCs/>
          <w:color w:val="FF0000"/>
          <w:sz w:val="24"/>
        </w:rPr>
      </w:pPr>
      <w:r w:rsidRPr="00A50166">
        <w:rPr>
          <w:bCs/>
          <w:color w:val="FF0000"/>
          <w:sz w:val="24"/>
        </w:rPr>
        <w:t>2. Uses or threatens to use a deadly weapon or dangerous instrument or a simulated deadly weapon.</w:t>
      </w:r>
    </w:p>
    <w:p w14:paraId="5AF58460" w14:textId="77777777" w:rsidR="0091776A" w:rsidRPr="00A50166" w:rsidRDefault="0091776A" w:rsidP="0091776A">
      <w:pPr>
        <w:rPr>
          <w:bCs/>
          <w:color w:val="FF0000"/>
          <w:sz w:val="24"/>
        </w:rPr>
      </w:pPr>
      <w:r w:rsidRPr="00A50166">
        <w:rPr>
          <w:bCs/>
          <w:color w:val="FF0000"/>
          <w:sz w:val="24"/>
        </w:rPr>
        <w:t>B. Armed robbery is a class 2 felony.</w:t>
      </w:r>
    </w:p>
    <w:p w14:paraId="17E43C71" w14:textId="77777777" w:rsidR="00414095" w:rsidRPr="00A50166" w:rsidRDefault="00414095">
      <w:pPr>
        <w:rPr>
          <w:bCs/>
          <w:sz w:val="24"/>
        </w:rPr>
      </w:pPr>
    </w:p>
    <w:p w14:paraId="304BAAD7" w14:textId="564CA5EE" w:rsidR="00E05E55" w:rsidRPr="00A50166" w:rsidRDefault="00E05E55" w:rsidP="006C7C33">
      <w:pPr>
        <w:rPr>
          <w:sz w:val="24"/>
        </w:rPr>
      </w:pPr>
    </w:p>
    <w:p w14:paraId="1C821416" w14:textId="485E2BE1" w:rsidR="0091776A" w:rsidRPr="00A50166" w:rsidRDefault="00E05E55" w:rsidP="006C7C33">
      <w:pPr>
        <w:rPr>
          <w:sz w:val="24"/>
        </w:rPr>
      </w:pPr>
      <w:r w:rsidRPr="00A50166">
        <w:rPr>
          <w:sz w:val="24"/>
        </w:rPr>
        <w:lastRenderedPageBreak/>
        <w:t>3</w:t>
      </w:r>
      <w:r w:rsidR="0091776A" w:rsidRPr="00A50166">
        <w:rPr>
          <w:sz w:val="24"/>
        </w:rPr>
        <w:t>. Shelly, 17, was arrested for the first time for stealing over $10,000 worth of jewelry, which is a felony offense. Due to the high cost of the jewelry stolen, can Shelly be tried as an adult? Yes or no and why?</w:t>
      </w:r>
    </w:p>
    <w:p w14:paraId="45494651" w14:textId="77777777" w:rsidR="0091776A" w:rsidRPr="00A50166" w:rsidRDefault="0091776A" w:rsidP="006C7C33">
      <w:pPr>
        <w:rPr>
          <w:b/>
          <w:sz w:val="24"/>
        </w:rPr>
      </w:pPr>
      <w:r w:rsidRPr="00A50166">
        <w:rPr>
          <w:b/>
          <w:sz w:val="24"/>
        </w:rPr>
        <w:t xml:space="preserve">Answer: No. A juvenile can only be charged as an adult if they commit a serious crime or if he or she has repeatedly committed felony offenses. </w:t>
      </w:r>
    </w:p>
    <w:p w14:paraId="271B5F5A" w14:textId="77777777" w:rsidR="0091776A" w:rsidRPr="00A50166" w:rsidRDefault="0091776A" w:rsidP="0091776A">
      <w:pPr>
        <w:rPr>
          <w:color w:val="FF0000"/>
          <w:sz w:val="24"/>
        </w:rPr>
      </w:pPr>
      <w:r w:rsidRPr="00A50166">
        <w:rPr>
          <w:color w:val="FF0000"/>
          <w:sz w:val="24"/>
        </w:rPr>
        <w:t>A.R.S. § 13-1802</w:t>
      </w:r>
    </w:p>
    <w:p w14:paraId="1B39C61D" w14:textId="77777777" w:rsidR="006A74C7" w:rsidRPr="00A50166" w:rsidRDefault="0091776A" w:rsidP="0091776A">
      <w:pPr>
        <w:rPr>
          <w:color w:val="FF0000"/>
          <w:sz w:val="24"/>
        </w:rPr>
      </w:pPr>
      <w:r w:rsidRPr="00A50166">
        <w:rPr>
          <w:color w:val="FF0000"/>
          <w:sz w:val="24"/>
        </w:rPr>
        <w:t>§ 13-1802. Theft; classification; definitions</w:t>
      </w:r>
    </w:p>
    <w:p w14:paraId="54A66F97" w14:textId="59E0AC2B" w:rsidR="006A74C7" w:rsidRPr="00A50166" w:rsidRDefault="006A74C7" w:rsidP="0091776A">
      <w:pPr>
        <w:rPr>
          <w:color w:val="FF0000"/>
          <w:sz w:val="24"/>
        </w:rPr>
      </w:pPr>
      <w:r w:rsidRPr="00A50166">
        <w:rPr>
          <w:color w:val="FF0000"/>
          <w:sz w:val="24"/>
        </w:rPr>
        <w:t>G. Theft of property or services with a value of twenty-five thousand dollars or more is a class 2 felony. Theft of property or services with a value of four thousand dollars or more but less than twenty-five thousand dollars is a class 3 felony. Theft of property or services with a value of three thousand dollars or more but less than four thousand dollars is a class 4 felony, except that theft of any vehicle engine or transmission is a class 4 felony regardless of value.  Theft of property or services with a value of two thousand dollars or more but less than three thousand dollars is a class 5 felony.  Theft of property or services with a value of one thousand dollars or more but less than two thousand dollars is a class 6 felony.  Theft of any property or services valued at less than one thousand dollars is a class 1 misdemeanor, unless the property is taken from the person of another, is a firearm or is an animal taken for the purpose of animal fighting in violation of section 13-2910.01, in which case the theft is a class 6 felony.</w:t>
      </w:r>
    </w:p>
    <w:p w14:paraId="6938A4D5" w14:textId="77777777" w:rsidR="0091776A" w:rsidRPr="00A50166" w:rsidRDefault="0091776A" w:rsidP="0091776A">
      <w:pPr>
        <w:rPr>
          <w:color w:val="FF0000"/>
          <w:sz w:val="24"/>
        </w:rPr>
      </w:pPr>
      <w:r w:rsidRPr="00A50166">
        <w:rPr>
          <w:color w:val="FF0000"/>
          <w:sz w:val="24"/>
        </w:rPr>
        <w:t>A.R.S. § 13-504</w:t>
      </w:r>
    </w:p>
    <w:p w14:paraId="3D186954" w14:textId="77777777" w:rsidR="0091776A" w:rsidRPr="00A50166" w:rsidRDefault="0091776A" w:rsidP="0091776A">
      <w:pPr>
        <w:rPr>
          <w:color w:val="FF0000"/>
          <w:sz w:val="24"/>
        </w:rPr>
      </w:pPr>
      <w:r w:rsidRPr="00A50166">
        <w:rPr>
          <w:color w:val="FF0000"/>
          <w:sz w:val="24"/>
        </w:rPr>
        <w:t>§ 13-504. Persons under eighteen years of age; juvenile transfer</w:t>
      </w:r>
    </w:p>
    <w:p w14:paraId="6C8D8F35" w14:textId="77777777" w:rsidR="0091776A" w:rsidRPr="00A50166" w:rsidRDefault="0091776A" w:rsidP="0091776A">
      <w:pPr>
        <w:rPr>
          <w:color w:val="FF0000"/>
          <w:sz w:val="24"/>
        </w:rPr>
      </w:pPr>
      <w:r w:rsidRPr="00A50166">
        <w:rPr>
          <w:color w:val="FF0000"/>
          <w:sz w:val="24"/>
        </w:rPr>
        <w:t>A. On the motion of a juvenile or on the court's own motion, the court, if a juvenile is being prosecuted in the same manner as an adult pursuant to § 13-501, subsection B, shall hold a hearing to determine if jurisdiction of the criminal prosecution should be transferred to the juvenile court.</w:t>
      </w:r>
    </w:p>
    <w:p w14:paraId="0DBBE057" w14:textId="77777777" w:rsidR="0091776A" w:rsidRPr="00A50166" w:rsidRDefault="0091776A" w:rsidP="0091776A">
      <w:pPr>
        <w:rPr>
          <w:color w:val="FF0000"/>
          <w:sz w:val="24"/>
        </w:rPr>
      </w:pPr>
      <w:r w:rsidRPr="00A50166">
        <w:rPr>
          <w:color w:val="FF0000"/>
          <w:sz w:val="24"/>
        </w:rPr>
        <w:t>B. Notwithstanding subsection A of this section, the court shall hold a hearing if a juvenile is prosecuted in the same manner as an adult pursuant to § 13-501, subsection B for an offense that was committed more than twelve months before the date of the filing of the criminal charge.</w:t>
      </w:r>
    </w:p>
    <w:p w14:paraId="7B9A1549" w14:textId="3D270A88" w:rsidR="0091776A" w:rsidRPr="00A50166" w:rsidRDefault="0091776A" w:rsidP="0091776A">
      <w:pPr>
        <w:rPr>
          <w:color w:val="FF0000"/>
          <w:sz w:val="24"/>
        </w:rPr>
      </w:pPr>
      <w:r w:rsidRPr="00A50166">
        <w:rPr>
          <w:color w:val="FF0000"/>
          <w:sz w:val="24"/>
        </w:rPr>
        <w:t xml:space="preserve">C. If the court finds by clear and convincing evidence that public safety and the rehabilitation of the juvenile, if adjudicated delinquent, would be best served by transferring the prosecution to the juvenile court, the judge shall order the juvenile transferred to the juvenile court. On transfer, the court shall order that the juvenile be taken to a place of detention designated by the juvenile court or to that court or shall release the juvenile to the custody of the juvenile's parent or guardian or </w:t>
      </w:r>
      <w:r w:rsidR="007155A3" w:rsidRPr="00A50166">
        <w:rPr>
          <w:color w:val="FF0000"/>
          <w:sz w:val="24"/>
        </w:rPr>
        <w:t>another</w:t>
      </w:r>
      <w:r w:rsidRPr="00A50166">
        <w:rPr>
          <w:color w:val="FF0000"/>
          <w:sz w:val="24"/>
        </w:rPr>
        <w:t xml:space="preserve"> person legally responsible for the juvenile. If the juvenile is released to the juvenile's parent or guardian or other person legally responsible for the juvenile, the court shall require that the parent, guardian or other person bring the juvenile to appear before the juvenile court at a designated time. The juvenile court shall then proceed with all further proceedings as if a petition alleging delinquency had been filed with the juvenile court under § 8-301.</w:t>
      </w:r>
    </w:p>
    <w:p w14:paraId="612F8DC0" w14:textId="77777777" w:rsidR="0091776A" w:rsidRPr="00A50166" w:rsidRDefault="0091776A" w:rsidP="0091776A">
      <w:pPr>
        <w:rPr>
          <w:color w:val="FF0000"/>
          <w:sz w:val="24"/>
        </w:rPr>
      </w:pPr>
      <w:r w:rsidRPr="00A50166">
        <w:rPr>
          <w:color w:val="FF0000"/>
          <w:sz w:val="24"/>
        </w:rPr>
        <w:t>D. The court shall consider the following factors in determining whether public safety and the juvenile's rehabilitation, if adjudicated delinquent, would be served by the transfer:</w:t>
      </w:r>
    </w:p>
    <w:p w14:paraId="785DDEE1" w14:textId="77777777" w:rsidR="0091776A" w:rsidRPr="00A50166" w:rsidRDefault="0091776A" w:rsidP="0091776A">
      <w:pPr>
        <w:ind w:firstLine="720"/>
        <w:rPr>
          <w:color w:val="FF0000"/>
          <w:sz w:val="24"/>
        </w:rPr>
      </w:pPr>
      <w:r w:rsidRPr="00A50166">
        <w:rPr>
          <w:color w:val="FF0000"/>
          <w:sz w:val="24"/>
        </w:rPr>
        <w:lastRenderedPageBreak/>
        <w:t>1. The seriousness of the offense involved.</w:t>
      </w:r>
    </w:p>
    <w:p w14:paraId="443C5FAA" w14:textId="77777777" w:rsidR="0091776A" w:rsidRPr="00A50166" w:rsidRDefault="0091776A" w:rsidP="0091776A">
      <w:pPr>
        <w:ind w:left="720"/>
        <w:rPr>
          <w:color w:val="FF0000"/>
          <w:sz w:val="24"/>
        </w:rPr>
      </w:pPr>
      <w:r w:rsidRPr="00A50166">
        <w:rPr>
          <w:color w:val="FF0000"/>
          <w:sz w:val="24"/>
        </w:rPr>
        <w:t>2. The record and previous history of the juvenile, including previous contacts with the court and law enforcement, previous periods of any court ordered probation and the results of that probation.</w:t>
      </w:r>
    </w:p>
    <w:p w14:paraId="5B2ED566" w14:textId="626D998A" w:rsidR="0091776A" w:rsidRPr="00A50166" w:rsidRDefault="0091776A" w:rsidP="0091776A">
      <w:pPr>
        <w:ind w:left="720"/>
        <w:rPr>
          <w:color w:val="FF0000"/>
          <w:sz w:val="24"/>
        </w:rPr>
      </w:pPr>
      <w:r w:rsidRPr="00A50166">
        <w:rPr>
          <w:color w:val="FF0000"/>
          <w:sz w:val="24"/>
        </w:rPr>
        <w:t xml:space="preserve">3. Any previous commitments of the </w:t>
      </w:r>
      <w:r w:rsidR="005973D3" w:rsidRPr="00A50166">
        <w:rPr>
          <w:color w:val="FF0000"/>
          <w:sz w:val="24"/>
        </w:rPr>
        <w:t>juvenile-to-juvenile</w:t>
      </w:r>
      <w:r w:rsidRPr="00A50166">
        <w:rPr>
          <w:color w:val="FF0000"/>
          <w:sz w:val="24"/>
        </w:rPr>
        <w:t xml:space="preserve"> residential placements or other secure institutions.</w:t>
      </w:r>
    </w:p>
    <w:p w14:paraId="2EBD7F53" w14:textId="77777777" w:rsidR="0091776A" w:rsidRPr="00A50166" w:rsidRDefault="0091776A" w:rsidP="0091776A">
      <w:pPr>
        <w:ind w:left="720"/>
        <w:rPr>
          <w:color w:val="FF0000"/>
          <w:sz w:val="24"/>
        </w:rPr>
      </w:pPr>
      <w:r w:rsidRPr="00A50166">
        <w:rPr>
          <w:color w:val="FF0000"/>
          <w:sz w:val="24"/>
        </w:rPr>
        <w:t>4. Whether the juvenile was previously committed to the department of juvenile corrections for a felony offense.</w:t>
      </w:r>
    </w:p>
    <w:p w14:paraId="36CA61C1" w14:textId="77777777" w:rsidR="0091776A" w:rsidRPr="00A50166" w:rsidRDefault="0091776A" w:rsidP="0091776A">
      <w:pPr>
        <w:ind w:left="720"/>
        <w:rPr>
          <w:color w:val="FF0000"/>
          <w:sz w:val="24"/>
        </w:rPr>
      </w:pPr>
      <w:r w:rsidRPr="00A50166">
        <w:rPr>
          <w:color w:val="FF0000"/>
          <w:sz w:val="24"/>
        </w:rPr>
        <w:t>5. Whether the juvenile committed another felony offense while the juvenile was a ward of the department of juvenile corrections.</w:t>
      </w:r>
    </w:p>
    <w:p w14:paraId="0D14F159" w14:textId="77777777" w:rsidR="0091776A" w:rsidRPr="00A50166" w:rsidRDefault="0091776A" w:rsidP="0091776A">
      <w:pPr>
        <w:ind w:left="720"/>
        <w:rPr>
          <w:color w:val="FF0000"/>
          <w:sz w:val="24"/>
        </w:rPr>
      </w:pPr>
      <w:r w:rsidRPr="00A50166">
        <w:rPr>
          <w:color w:val="FF0000"/>
          <w:sz w:val="24"/>
        </w:rPr>
        <w:t>6. Whether the juvenile committed the alleged offense while participating in, assisting, promoting or furthering the interests of a criminal street gang, a criminal syndicate or a racketeering enterprise.</w:t>
      </w:r>
    </w:p>
    <w:p w14:paraId="777B9AB3" w14:textId="77777777" w:rsidR="0091776A" w:rsidRPr="00A50166" w:rsidRDefault="0091776A" w:rsidP="0091776A">
      <w:pPr>
        <w:ind w:firstLine="720"/>
        <w:rPr>
          <w:color w:val="FF0000"/>
          <w:sz w:val="24"/>
        </w:rPr>
      </w:pPr>
      <w:r w:rsidRPr="00A50166">
        <w:rPr>
          <w:color w:val="FF0000"/>
          <w:sz w:val="24"/>
        </w:rPr>
        <w:t>7. The views of the victim of the offense.</w:t>
      </w:r>
    </w:p>
    <w:p w14:paraId="5BEACE25" w14:textId="77777777" w:rsidR="0091776A" w:rsidRPr="00A50166" w:rsidRDefault="0091776A" w:rsidP="0091776A">
      <w:pPr>
        <w:ind w:left="720"/>
        <w:rPr>
          <w:color w:val="FF0000"/>
          <w:sz w:val="24"/>
        </w:rPr>
      </w:pPr>
      <w:r w:rsidRPr="00A50166">
        <w:rPr>
          <w:color w:val="FF0000"/>
          <w:sz w:val="24"/>
        </w:rPr>
        <w:t>8. Whether the degree of the juvenile's participation in the offense was relatively minor but not so minor as to constitute a defense to prosecution.</w:t>
      </w:r>
    </w:p>
    <w:p w14:paraId="59F34ADD" w14:textId="77777777" w:rsidR="0091776A" w:rsidRPr="00A50166" w:rsidRDefault="0091776A" w:rsidP="0091776A">
      <w:pPr>
        <w:ind w:firstLine="720"/>
        <w:rPr>
          <w:color w:val="FF0000"/>
          <w:sz w:val="24"/>
        </w:rPr>
      </w:pPr>
      <w:r w:rsidRPr="00A50166">
        <w:rPr>
          <w:color w:val="FF0000"/>
          <w:sz w:val="24"/>
        </w:rPr>
        <w:t>9. The juvenile's mental and emotional condition.</w:t>
      </w:r>
    </w:p>
    <w:p w14:paraId="658BEFED" w14:textId="77777777" w:rsidR="0091776A" w:rsidRPr="00A50166" w:rsidRDefault="0091776A" w:rsidP="0091776A">
      <w:pPr>
        <w:ind w:left="720"/>
        <w:rPr>
          <w:color w:val="FF0000"/>
          <w:sz w:val="24"/>
        </w:rPr>
      </w:pPr>
      <w:r w:rsidRPr="00A50166">
        <w:rPr>
          <w:color w:val="FF0000"/>
          <w:sz w:val="24"/>
        </w:rPr>
        <w:t>10. The likelihood of the juvenile's reasonable rehabilitation through the use of services and facilities that are currently available to the juvenile court.</w:t>
      </w:r>
    </w:p>
    <w:p w14:paraId="0896CE2F" w14:textId="6FEAF061" w:rsidR="0091776A" w:rsidRDefault="0091776A" w:rsidP="00A50166">
      <w:pPr>
        <w:pBdr>
          <w:bottom w:val="single" w:sz="4" w:space="1" w:color="auto"/>
        </w:pBdr>
        <w:rPr>
          <w:color w:val="FF0000"/>
          <w:sz w:val="24"/>
        </w:rPr>
      </w:pPr>
      <w:r w:rsidRPr="00A50166">
        <w:rPr>
          <w:color w:val="FF0000"/>
          <w:sz w:val="24"/>
        </w:rPr>
        <w:t>E. At the conclusion of the transfer hearing, the court shall make a written determination whether the juvenile should be transferred to juvenile court. The court shall not defer the decision as to the transfer.</w:t>
      </w:r>
    </w:p>
    <w:p w14:paraId="2314B998" w14:textId="77777777" w:rsidR="00A50166" w:rsidRPr="00A50166" w:rsidRDefault="00A50166" w:rsidP="00A50166">
      <w:pPr>
        <w:pBdr>
          <w:bottom w:val="single" w:sz="4" w:space="1" w:color="auto"/>
        </w:pBdr>
        <w:rPr>
          <w:color w:val="FF0000"/>
          <w:sz w:val="24"/>
        </w:rPr>
      </w:pPr>
    </w:p>
    <w:p w14:paraId="1C70A93C" w14:textId="46FA9142" w:rsidR="0091776A" w:rsidRPr="00A50166" w:rsidRDefault="00E05E55" w:rsidP="0091776A">
      <w:pPr>
        <w:rPr>
          <w:sz w:val="24"/>
        </w:rPr>
      </w:pPr>
      <w:r w:rsidRPr="00A50166">
        <w:rPr>
          <w:sz w:val="24"/>
        </w:rPr>
        <w:t>4</w:t>
      </w:r>
      <w:r w:rsidR="0091776A" w:rsidRPr="00A50166">
        <w:rPr>
          <w:sz w:val="24"/>
        </w:rPr>
        <w:t>. In addition to being notified of the rights to a lawyer, police must also notify a juvenile’s parents of the charges. True or False?</w:t>
      </w:r>
    </w:p>
    <w:p w14:paraId="74339991" w14:textId="18F48718" w:rsidR="00A50166" w:rsidRDefault="00DA2633" w:rsidP="00A50166">
      <w:pPr>
        <w:pBdr>
          <w:bottom w:val="single" w:sz="4" w:space="1" w:color="auto"/>
        </w:pBdr>
        <w:rPr>
          <w:b/>
          <w:sz w:val="24"/>
        </w:rPr>
      </w:pPr>
      <w:r w:rsidRPr="00A50166">
        <w:rPr>
          <w:b/>
          <w:sz w:val="24"/>
        </w:rPr>
        <w:t xml:space="preserve">Answer: </w:t>
      </w:r>
      <w:r w:rsidR="0091776A" w:rsidRPr="00A50166">
        <w:rPr>
          <w:b/>
          <w:sz w:val="24"/>
        </w:rPr>
        <w:t xml:space="preserve">True. This was one of the rights secured for juveniles as a result of the case In re Gault. </w:t>
      </w:r>
    </w:p>
    <w:p w14:paraId="77EF5671" w14:textId="77777777" w:rsidR="00A50166" w:rsidRPr="00A50166" w:rsidRDefault="00A50166" w:rsidP="00A50166">
      <w:pPr>
        <w:pBdr>
          <w:bottom w:val="single" w:sz="4" w:space="1" w:color="auto"/>
        </w:pBdr>
        <w:rPr>
          <w:b/>
          <w:sz w:val="24"/>
        </w:rPr>
      </w:pPr>
    </w:p>
    <w:p w14:paraId="42027267" w14:textId="33D42C21" w:rsidR="00DA2633" w:rsidRPr="00A50166" w:rsidRDefault="00E05E55" w:rsidP="0091776A">
      <w:pPr>
        <w:rPr>
          <w:sz w:val="24"/>
        </w:rPr>
      </w:pPr>
      <w:r w:rsidRPr="00A50166">
        <w:rPr>
          <w:sz w:val="24"/>
        </w:rPr>
        <w:t>5</w:t>
      </w:r>
      <w:r w:rsidR="00DA2633" w:rsidRPr="00A50166">
        <w:rPr>
          <w:sz w:val="24"/>
        </w:rPr>
        <w:t>. Thomas, age 19, was arrested for underage drinking. During his arrest, police did not notify his parents. Were Thomas’ rights violated? Why or why not?</w:t>
      </w:r>
    </w:p>
    <w:p w14:paraId="7653838D" w14:textId="3C01D2BD" w:rsidR="007155A3" w:rsidRPr="00A50166" w:rsidRDefault="00DA2633" w:rsidP="00A50166">
      <w:pPr>
        <w:rPr>
          <w:b/>
          <w:sz w:val="24"/>
        </w:rPr>
      </w:pPr>
      <w:r w:rsidRPr="00A50166">
        <w:rPr>
          <w:b/>
          <w:sz w:val="24"/>
        </w:rPr>
        <w:t>Answer: No. Although underage drinking is a status offense, Thomas is over the age of 18. Therefore, his parents are not required to be notified.</w:t>
      </w:r>
    </w:p>
    <w:sectPr w:rsidR="007155A3" w:rsidRPr="00A50166" w:rsidSect="00EB37FB">
      <w:footerReference w:type="default" r:id="rId8"/>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4C4845" w14:textId="77777777" w:rsidR="00EB37FB" w:rsidRDefault="00EB37FB" w:rsidP="00EB37FB">
      <w:pPr>
        <w:spacing w:after="0" w:line="240" w:lineRule="auto"/>
      </w:pPr>
      <w:r>
        <w:separator/>
      </w:r>
    </w:p>
  </w:endnote>
  <w:endnote w:type="continuationSeparator" w:id="0">
    <w:p w14:paraId="079D4476" w14:textId="77777777" w:rsidR="00EB37FB" w:rsidRDefault="00EB37FB" w:rsidP="00EB37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03781" w14:textId="34672AD2" w:rsidR="00EB37FB" w:rsidRPr="007155A3" w:rsidRDefault="007155A3" w:rsidP="007155A3">
    <w:pPr>
      <w:pStyle w:val="Footer"/>
      <w:pBdr>
        <w:top w:val="thinThickSmallGap" w:sz="24" w:space="1" w:color="823B0B"/>
      </w:pBdr>
      <w:tabs>
        <w:tab w:val="clear" w:pos="4680"/>
        <w:tab w:val="clear" w:pos="9360"/>
        <w:tab w:val="right" w:pos="10800"/>
      </w:tabs>
      <w:rPr>
        <w:rFonts w:eastAsia="Times New Roman"/>
        <w:sz w:val="24"/>
        <w:szCs w:val="24"/>
      </w:rPr>
    </w:pPr>
    <w:r w:rsidRPr="00187FE2">
      <w:rPr>
        <w:rFonts w:eastAsia="Times New Roman"/>
        <w:sz w:val="24"/>
        <w:szCs w:val="24"/>
      </w:rPr>
      <w:t>Arizona Foundation for Legal Services and Education                           March 2022</w:t>
    </w:r>
    <w:r w:rsidRPr="00ED3C0A">
      <w:rPr>
        <w:rFonts w:eastAsia="Times New Roman"/>
        <w:sz w:val="24"/>
        <w:szCs w:val="24"/>
      </w:rPr>
      <w:tab/>
    </w:r>
    <w:r w:rsidRPr="00187FE2">
      <w:rPr>
        <w:rFonts w:eastAsia="Times New Roman"/>
        <w:sz w:val="24"/>
        <w:szCs w:val="24"/>
      </w:rPr>
      <w:t xml:space="preserve">Page </w:t>
    </w:r>
    <w:r w:rsidRPr="00187FE2">
      <w:rPr>
        <w:rFonts w:eastAsia="Times New Roman"/>
        <w:sz w:val="24"/>
        <w:szCs w:val="24"/>
      </w:rPr>
      <w:fldChar w:fldCharType="begin"/>
    </w:r>
    <w:r w:rsidRPr="00187FE2">
      <w:rPr>
        <w:sz w:val="24"/>
        <w:szCs w:val="24"/>
      </w:rPr>
      <w:instrText xml:space="preserve"> PAGE   \* MERGEFORMAT </w:instrText>
    </w:r>
    <w:r w:rsidRPr="00187FE2">
      <w:rPr>
        <w:rFonts w:eastAsia="Times New Roman"/>
        <w:sz w:val="24"/>
        <w:szCs w:val="24"/>
      </w:rPr>
      <w:fldChar w:fldCharType="separate"/>
    </w:r>
    <w:r>
      <w:rPr>
        <w:rFonts w:eastAsia="Times New Roman"/>
        <w:sz w:val="24"/>
        <w:szCs w:val="24"/>
      </w:rPr>
      <w:t>1</w:t>
    </w:r>
    <w:r w:rsidRPr="00187FE2">
      <w:rPr>
        <w:rFonts w:eastAsia="Times New Roman"/>
        <w:noProof/>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272485" w14:textId="77777777" w:rsidR="00EB37FB" w:rsidRDefault="00EB37FB" w:rsidP="00EB37FB">
      <w:pPr>
        <w:spacing w:after="0" w:line="240" w:lineRule="auto"/>
      </w:pPr>
      <w:r>
        <w:separator/>
      </w:r>
    </w:p>
  </w:footnote>
  <w:footnote w:type="continuationSeparator" w:id="0">
    <w:p w14:paraId="4DA83981" w14:textId="77777777" w:rsidR="00EB37FB" w:rsidRDefault="00EB37FB" w:rsidP="00EB37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A4F1F"/>
    <w:multiLevelType w:val="hybridMultilevel"/>
    <w:tmpl w:val="A734E1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601468F"/>
    <w:multiLevelType w:val="hybridMultilevel"/>
    <w:tmpl w:val="4CB400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61B7C"/>
    <w:rsid w:val="00195EED"/>
    <w:rsid w:val="002D5AEF"/>
    <w:rsid w:val="002D70EF"/>
    <w:rsid w:val="00361B7C"/>
    <w:rsid w:val="00414095"/>
    <w:rsid w:val="00494344"/>
    <w:rsid w:val="005973D3"/>
    <w:rsid w:val="006A74C7"/>
    <w:rsid w:val="006C7C33"/>
    <w:rsid w:val="007155A3"/>
    <w:rsid w:val="007219A5"/>
    <w:rsid w:val="0091776A"/>
    <w:rsid w:val="00943638"/>
    <w:rsid w:val="00A50166"/>
    <w:rsid w:val="00AE46E8"/>
    <w:rsid w:val="00B03C0A"/>
    <w:rsid w:val="00B64643"/>
    <w:rsid w:val="00DA2633"/>
    <w:rsid w:val="00E05E55"/>
    <w:rsid w:val="00E14619"/>
    <w:rsid w:val="00EB37FB"/>
    <w:rsid w:val="00F637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8A4873"/>
  <w15:docId w15:val="{65142EDA-6D59-4340-B03E-DC0A85370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3638"/>
    <w:pPr>
      <w:ind w:left="720"/>
      <w:contextualSpacing/>
    </w:pPr>
  </w:style>
  <w:style w:type="paragraph" w:styleId="BalloonText">
    <w:name w:val="Balloon Text"/>
    <w:basedOn w:val="Normal"/>
    <w:link w:val="BalloonTextChar"/>
    <w:uiPriority w:val="99"/>
    <w:semiHidden/>
    <w:unhideWhenUsed/>
    <w:rsid w:val="00EB37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37FB"/>
    <w:rPr>
      <w:rFonts w:ascii="Tahoma" w:hAnsi="Tahoma" w:cs="Tahoma"/>
      <w:sz w:val="16"/>
      <w:szCs w:val="16"/>
    </w:rPr>
  </w:style>
  <w:style w:type="paragraph" w:styleId="Header">
    <w:name w:val="header"/>
    <w:basedOn w:val="Normal"/>
    <w:link w:val="HeaderChar"/>
    <w:uiPriority w:val="99"/>
    <w:unhideWhenUsed/>
    <w:rsid w:val="00EB37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37FB"/>
  </w:style>
  <w:style w:type="paragraph" w:styleId="Footer">
    <w:name w:val="footer"/>
    <w:basedOn w:val="Normal"/>
    <w:link w:val="FooterChar"/>
    <w:uiPriority w:val="99"/>
    <w:unhideWhenUsed/>
    <w:rsid w:val="00EB37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37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4</Pages>
  <Words>1352</Words>
  <Characters>7709</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Brandi Sek</dc:creator>
  <cp:lastModifiedBy>Deepika Padmavati</cp:lastModifiedBy>
  <cp:revision>10</cp:revision>
  <cp:lastPrinted>2016-03-28T18:55:00Z</cp:lastPrinted>
  <dcterms:created xsi:type="dcterms:W3CDTF">2014-02-28T18:06:00Z</dcterms:created>
  <dcterms:modified xsi:type="dcterms:W3CDTF">2022-03-08T23:18:00Z</dcterms:modified>
</cp:coreProperties>
</file>