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B613D5" w14:textId="77777777" w:rsidR="00AB133B" w:rsidRDefault="00AB133B" w:rsidP="00AB133B">
      <w:pPr>
        <w:jc w:val="center"/>
        <w:rPr>
          <w:rFonts w:ascii="Calibri" w:hAnsi="Calibri" w:cs="Calibri"/>
          <w:b/>
          <w:bCs/>
        </w:rPr>
      </w:pPr>
      <w:r>
        <w:rPr>
          <w:noProof/>
        </w:rPr>
        <w:drawing>
          <wp:inline distT="0" distB="0" distL="0" distR="0" wp14:anchorId="620AA2B8" wp14:editId="4D1160E8">
            <wp:extent cx="1676400" cy="779057"/>
            <wp:effectExtent l="0" t="0" r="0" b="2540"/>
            <wp:docPr id="203125841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125841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39" cy="78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23B5E1" w14:textId="77777777" w:rsidR="00AB133B" w:rsidRPr="00CB141E" w:rsidRDefault="00AB133B" w:rsidP="00AB133B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b/>
          <w:bCs/>
          <w:color w:val="000000"/>
        </w:rPr>
        <w:t>“When You Turn 18: Preparing Students for Financial Success” Academy</w:t>
      </w:r>
    </w:p>
    <w:p w14:paraId="5E058155" w14:textId="77777777" w:rsidR="00AB133B" w:rsidRPr="00CB141E" w:rsidRDefault="00AB133B" w:rsidP="00AB133B">
      <w:pPr>
        <w:spacing w:after="0" w:line="240" w:lineRule="auto"/>
        <w:jc w:val="center"/>
        <w:rPr>
          <w:rFonts w:ascii="Calibri" w:eastAsia="Times New Roman" w:hAnsi="Calibri" w:cs="Calibri"/>
        </w:rPr>
      </w:pPr>
      <w:r w:rsidRPr="00CB141E">
        <w:rPr>
          <w:rFonts w:ascii="Calibri" w:eastAsia="Times New Roman" w:hAnsi="Calibri" w:cs="Calibri"/>
          <w:color w:val="000000"/>
        </w:rPr>
        <w:t>(High School)</w:t>
      </w:r>
    </w:p>
    <w:p w14:paraId="143F78D1" w14:textId="6CAB9A2E" w:rsidR="00AB133B" w:rsidRDefault="00AB133B" w:rsidP="00AB133B">
      <w:pPr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Banking </w:t>
      </w:r>
      <w:r w:rsidR="00915FF7">
        <w:rPr>
          <w:rFonts w:ascii="Calibri" w:hAnsi="Calibri" w:cs="Calibri"/>
          <w:b/>
          <w:bCs/>
        </w:rPr>
        <w:t xml:space="preserve">Expert Group </w:t>
      </w:r>
      <w:r>
        <w:rPr>
          <w:rFonts w:ascii="Calibri" w:hAnsi="Calibri" w:cs="Calibri"/>
          <w:b/>
          <w:bCs/>
        </w:rPr>
        <w:t>Topic Cards</w:t>
      </w:r>
    </w:p>
    <w:p w14:paraId="7E4054E7" w14:textId="77777777" w:rsidR="00AB133B" w:rsidRDefault="00AB133B" w:rsidP="00AB133B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40"/>
        <w:gridCol w:w="270"/>
        <w:gridCol w:w="5480"/>
      </w:tblGrid>
      <w:tr w:rsidR="00AB133B" w14:paraId="3488F7A5" w14:textId="77777777" w:rsidTr="00565BA4">
        <w:tc>
          <w:tcPr>
            <w:tcW w:w="5040" w:type="dxa"/>
          </w:tcPr>
          <w:p w14:paraId="11DFACC0" w14:textId="588A991C" w:rsidR="00AB133B" w:rsidRPr="005F4BC5" w:rsidRDefault="00AB133B" w:rsidP="005F4BC5">
            <w:pPr>
              <w:rPr>
                <w:rFonts w:ascii="Century Gothic" w:hAnsi="Century Gothic" w:cs="Calibri"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t xml:space="preserve">How to Open a Bank Account </w:t>
            </w: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br/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t xml:space="preserve">- Steps to open a checking or savings account.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 xml:space="preserve">- Documents legally required (ID, proof of address).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 xml:space="preserve">- </w:t>
            </w:r>
            <w:r w:rsidR="005F4BC5">
              <w:rPr>
                <w:rFonts w:ascii="Century Gothic" w:hAnsi="Century Gothic" w:cs="Calibri"/>
                <w:sz w:val="28"/>
                <w:szCs w:val="28"/>
              </w:rPr>
              <w:t>Legal a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t>ge requirements and parental consent (if under 18).</w:t>
            </w:r>
          </w:p>
          <w:p w14:paraId="3A3F4729" w14:textId="12848C2C" w:rsidR="005F4BC5" w:rsidRPr="005F4BC5" w:rsidRDefault="005F4BC5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</w:p>
        </w:tc>
        <w:tc>
          <w:tcPr>
            <w:tcW w:w="270" w:type="dxa"/>
          </w:tcPr>
          <w:p w14:paraId="2899D07B" w14:textId="77777777" w:rsidR="00AB133B" w:rsidRPr="005F4BC5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</w:p>
        </w:tc>
        <w:tc>
          <w:tcPr>
            <w:tcW w:w="5480" w:type="dxa"/>
          </w:tcPr>
          <w:p w14:paraId="5D3FAB50" w14:textId="77777777" w:rsidR="00AB133B" w:rsidRPr="005F4BC5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t>Types of Bank Accounts</w:t>
            </w:r>
          </w:p>
          <w:p w14:paraId="6E9C0C14" w14:textId="77777777" w:rsidR="00AB133B" w:rsidRPr="005F4BC5" w:rsidRDefault="00AB133B" w:rsidP="005F4BC5">
            <w:pPr>
              <w:rPr>
                <w:rFonts w:ascii="Century Gothic" w:hAnsi="Century Gothic" w:cs="Calibri"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sz w:val="28"/>
                <w:szCs w:val="28"/>
              </w:rPr>
              <w:t>- Differences between checking, savings, and money market accounts.</w:t>
            </w:r>
          </w:p>
          <w:p w14:paraId="73884A4E" w14:textId="77777777" w:rsidR="00AB133B" w:rsidRPr="005F4BC5" w:rsidRDefault="00AB133B" w:rsidP="005F4BC5">
            <w:pPr>
              <w:rPr>
                <w:rFonts w:ascii="Century Gothic" w:hAnsi="Century Gothic" w:cs="Calibri"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sz w:val="28"/>
                <w:szCs w:val="28"/>
              </w:rPr>
              <w:t>- Features, benefits, and typical uses for each.</w:t>
            </w:r>
          </w:p>
          <w:p w14:paraId="2FDFB755" w14:textId="67A3A101" w:rsidR="00AB133B" w:rsidRPr="005F4BC5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sz w:val="28"/>
                <w:szCs w:val="28"/>
              </w:rPr>
              <w:t xml:space="preserve">- </w:t>
            </w:r>
            <w:r w:rsidR="005F4BC5">
              <w:rPr>
                <w:rFonts w:ascii="Century Gothic" w:hAnsi="Century Gothic" w:cs="Calibri"/>
                <w:sz w:val="28"/>
                <w:szCs w:val="28"/>
              </w:rPr>
              <w:t>L</w:t>
            </w:r>
            <w:r w:rsidR="005F4BC5" w:rsidRPr="005F4BC5">
              <w:rPr>
                <w:rFonts w:ascii="Century Gothic" w:hAnsi="Century Gothic" w:cs="Calibri"/>
                <w:sz w:val="28"/>
                <w:szCs w:val="28"/>
              </w:rPr>
              <w:t>egal rights and responsibilities as a bank account holder.</w:t>
            </w:r>
          </w:p>
        </w:tc>
      </w:tr>
      <w:tr w:rsidR="00AB133B" w14:paraId="7AB80981" w14:textId="77777777" w:rsidTr="00565BA4">
        <w:tc>
          <w:tcPr>
            <w:tcW w:w="5040" w:type="dxa"/>
          </w:tcPr>
          <w:p w14:paraId="2176EF92" w14:textId="476862C2" w:rsidR="00AB133B" w:rsidRPr="005F4BC5" w:rsidRDefault="00AB133B" w:rsidP="005F4BC5">
            <w:pPr>
              <w:rPr>
                <w:rFonts w:ascii="Century Gothic" w:hAnsi="Century Gothic" w:cs="Calibri"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t xml:space="preserve">Banking Fees and How to </w:t>
            </w:r>
            <w:r w:rsid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br/>
            </w: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t xml:space="preserve">Avoid Them </w:t>
            </w: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br/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t xml:space="preserve">- Common fees (overdraft, ATM, maintenance).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 xml:space="preserve">- Ways to avoid fees (minimum balance, direct deposit).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>- Understanding fee-free accounts.</w:t>
            </w:r>
          </w:p>
          <w:p w14:paraId="05913E86" w14:textId="076F1A56" w:rsidR="005F4BC5" w:rsidRPr="005F4BC5" w:rsidRDefault="005F4BC5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</w:p>
        </w:tc>
        <w:tc>
          <w:tcPr>
            <w:tcW w:w="270" w:type="dxa"/>
          </w:tcPr>
          <w:p w14:paraId="30185C65" w14:textId="77777777" w:rsidR="00AB133B" w:rsidRPr="005F4BC5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</w:p>
        </w:tc>
        <w:tc>
          <w:tcPr>
            <w:tcW w:w="5480" w:type="dxa"/>
          </w:tcPr>
          <w:p w14:paraId="319D4DA2" w14:textId="7DD5712F" w:rsidR="00AB133B" w:rsidRPr="005F4BC5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t xml:space="preserve">Online and Mobile Banking </w:t>
            </w: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br/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t xml:space="preserve">- How to set up and use online banking.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 xml:space="preserve">- Features like mobile check deposit, bill pay, and monitoring.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>- Security tips for safe online banking.</w:t>
            </w:r>
          </w:p>
        </w:tc>
      </w:tr>
      <w:tr w:rsidR="00AB133B" w14:paraId="4E6EA6C8" w14:textId="77777777" w:rsidTr="00565BA4">
        <w:tc>
          <w:tcPr>
            <w:tcW w:w="5040" w:type="dxa"/>
          </w:tcPr>
          <w:p w14:paraId="015188E9" w14:textId="01DFEF3C" w:rsidR="00AB133B" w:rsidRPr="005F4BC5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t xml:space="preserve">Using Debit Cards and ATMs </w:t>
            </w: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br/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t xml:space="preserve">- How debit cards work and where they can be used.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 xml:space="preserve">- ATM transactions like withdrawing cash and checking balances.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>- Avoiding ATM fees and staying safe.</w:t>
            </w:r>
          </w:p>
        </w:tc>
        <w:tc>
          <w:tcPr>
            <w:tcW w:w="270" w:type="dxa"/>
          </w:tcPr>
          <w:p w14:paraId="2FFE0D9D" w14:textId="77777777" w:rsidR="00AB133B" w:rsidRPr="005F4BC5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</w:p>
        </w:tc>
        <w:tc>
          <w:tcPr>
            <w:tcW w:w="5480" w:type="dxa"/>
          </w:tcPr>
          <w:p w14:paraId="3A74F740" w14:textId="7E16454F" w:rsidR="00AB133B" w:rsidRPr="00AB133B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  <w:r w:rsidRPr="00AB133B">
              <w:rPr>
                <w:rFonts w:ascii="Century Gothic" w:hAnsi="Century Gothic" w:cs="Calibri"/>
                <w:b/>
                <w:bCs/>
                <w:sz w:val="28"/>
                <w:szCs w:val="28"/>
              </w:rPr>
              <w:t xml:space="preserve">Overdraft Protection and </w:t>
            </w:r>
            <w:r w:rsid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br/>
            </w:r>
            <w:r w:rsidRPr="00AB133B">
              <w:rPr>
                <w:rFonts w:ascii="Century Gothic" w:hAnsi="Century Gothic" w:cs="Calibri"/>
                <w:b/>
                <w:bCs/>
                <w:sz w:val="28"/>
                <w:szCs w:val="28"/>
              </w:rPr>
              <w:t>Responsible Spending</w:t>
            </w:r>
          </w:p>
          <w:p w14:paraId="343E36E1" w14:textId="77777777" w:rsidR="00AB133B" w:rsidRPr="00AB133B" w:rsidRDefault="00AB133B" w:rsidP="005F4BC5">
            <w:pPr>
              <w:rPr>
                <w:rFonts w:ascii="Century Gothic" w:hAnsi="Century Gothic" w:cs="Calibri"/>
                <w:sz w:val="28"/>
                <w:szCs w:val="28"/>
              </w:rPr>
            </w:pPr>
            <w:r w:rsidRPr="00AB133B">
              <w:rPr>
                <w:rFonts w:ascii="Century Gothic" w:hAnsi="Century Gothic" w:cs="Calibri"/>
                <w:sz w:val="28"/>
                <w:szCs w:val="28"/>
              </w:rPr>
              <w:t>- What overdraft protection is and how it works.</w:t>
            </w:r>
          </w:p>
          <w:p w14:paraId="51CC2D67" w14:textId="77777777" w:rsidR="00AB133B" w:rsidRPr="00AB133B" w:rsidRDefault="00AB133B" w:rsidP="005F4BC5">
            <w:pPr>
              <w:rPr>
                <w:rFonts w:ascii="Century Gothic" w:hAnsi="Century Gothic" w:cs="Calibri"/>
                <w:sz w:val="28"/>
                <w:szCs w:val="28"/>
              </w:rPr>
            </w:pPr>
            <w:r w:rsidRPr="00AB133B">
              <w:rPr>
                <w:rFonts w:ascii="Century Gothic" w:hAnsi="Century Gothic" w:cs="Calibri"/>
                <w:sz w:val="28"/>
                <w:szCs w:val="28"/>
              </w:rPr>
              <w:t>- Risks and fees associated with overdrafts.</w:t>
            </w:r>
          </w:p>
          <w:p w14:paraId="7FD0355C" w14:textId="77777777" w:rsidR="00AB133B" w:rsidRPr="005F4BC5" w:rsidRDefault="00AB133B" w:rsidP="005F4BC5">
            <w:pPr>
              <w:rPr>
                <w:rFonts w:ascii="Century Gothic" w:hAnsi="Century Gothic" w:cs="Calibri"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sz w:val="28"/>
                <w:szCs w:val="28"/>
              </w:rPr>
              <w:t>- Budgeting to avoid overdrawing your account.</w:t>
            </w:r>
          </w:p>
          <w:p w14:paraId="405D1801" w14:textId="20F6B631" w:rsidR="005F4BC5" w:rsidRPr="005F4BC5" w:rsidRDefault="005F4BC5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</w:p>
        </w:tc>
      </w:tr>
      <w:tr w:rsidR="00AB133B" w14:paraId="71E82C1C" w14:textId="77777777" w:rsidTr="00565BA4">
        <w:tc>
          <w:tcPr>
            <w:tcW w:w="5040" w:type="dxa"/>
          </w:tcPr>
          <w:p w14:paraId="060122AC" w14:textId="32AB49E8" w:rsidR="00AB133B" w:rsidRPr="005F4BC5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t xml:space="preserve">Building and Managing Credit </w:t>
            </w: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br/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t xml:space="preserve">- Difference between debit and credit cards.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 xml:space="preserve">- Basics of credit scores and how banking decisions (like loans) impact them.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>- Tips for building good credit early.</w:t>
            </w:r>
          </w:p>
        </w:tc>
        <w:tc>
          <w:tcPr>
            <w:tcW w:w="270" w:type="dxa"/>
          </w:tcPr>
          <w:p w14:paraId="749BD60E" w14:textId="77777777" w:rsidR="00AB133B" w:rsidRPr="005F4BC5" w:rsidRDefault="00AB133B" w:rsidP="005F4BC5">
            <w:pPr>
              <w:rPr>
                <w:rFonts w:ascii="Century Gothic" w:hAnsi="Century Gothic" w:cs="Calibri"/>
                <w:b/>
                <w:bCs/>
                <w:sz w:val="28"/>
                <w:szCs w:val="28"/>
              </w:rPr>
            </w:pPr>
          </w:p>
        </w:tc>
        <w:tc>
          <w:tcPr>
            <w:tcW w:w="5480" w:type="dxa"/>
          </w:tcPr>
          <w:p w14:paraId="196FD26C" w14:textId="07D2565F" w:rsidR="005F4BC5" w:rsidRPr="005F4BC5" w:rsidRDefault="005F4BC5" w:rsidP="005F4BC5">
            <w:pPr>
              <w:rPr>
                <w:rFonts w:ascii="Century Gothic" w:hAnsi="Century Gothic" w:cs="Calibri"/>
                <w:sz w:val="28"/>
                <w:szCs w:val="28"/>
              </w:rPr>
            </w:pP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t xml:space="preserve">Bank Account Safety and Fraud Prevention </w:t>
            </w:r>
            <w:r w:rsidRPr="005F4BC5">
              <w:rPr>
                <w:rFonts w:ascii="Century Gothic" w:hAnsi="Century Gothic" w:cs="Calibri"/>
                <w:b/>
                <w:bCs/>
                <w:sz w:val="28"/>
                <w:szCs w:val="28"/>
              </w:rPr>
              <w:br/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t xml:space="preserve">- Recognizing and preventing phishing scams.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 xml:space="preserve">- Safeguarding personal and account information. </w:t>
            </w:r>
            <w:r w:rsidRPr="005F4BC5">
              <w:rPr>
                <w:rFonts w:ascii="Century Gothic" w:hAnsi="Century Gothic" w:cs="Calibri"/>
                <w:sz w:val="28"/>
                <w:szCs w:val="28"/>
              </w:rPr>
              <w:br/>
              <w:t>- Steps to take if your account is compromised.</w:t>
            </w:r>
          </w:p>
        </w:tc>
      </w:tr>
    </w:tbl>
    <w:p w14:paraId="463BD949" w14:textId="77777777" w:rsidR="00AB133B" w:rsidRDefault="00AB133B"/>
    <w:sectPr w:rsidR="00AB133B" w:rsidSect="00AB133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133B"/>
    <w:rsid w:val="00293B1C"/>
    <w:rsid w:val="00565BA4"/>
    <w:rsid w:val="005F4BC5"/>
    <w:rsid w:val="00915FF7"/>
    <w:rsid w:val="00973064"/>
    <w:rsid w:val="00AB133B"/>
    <w:rsid w:val="00AD66F7"/>
    <w:rsid w:val="00BC6B2E"/>
    <w:rsid w:val="00F30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19B91"/>
  <w15:chartTrackingRefBased/>
  <w15:docId w15:val="{5B5E55FF-A162-4A7D-B219-24353D08A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133B"/>
  </w:style>
  <w:style w:type="paragraph" w:styleId="Heading1">
    <w:name w:val="heading 1"/>
    <w:basedOn w:val="Normal"/>
    <w:next w:val="Normal"/>
    <w:link w:val="Heading1Char"/>
    <w:uiPriority w:val="9"/>
    <w:qFormat/>
    <w:rsid w:val="00AB13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13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13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13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13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13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13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13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13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13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13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13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133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133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13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13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13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13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13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13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13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13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13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13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13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133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13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133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133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B13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5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44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Viel</dc:creator>
  <cp:keywords/>
  <dc:description/>
  <cp:lastModifiedBy>Andrea Viel</cp:lastModifiedBy>
  <cp:revision>4</cp:revision>
  <dcterms:created xsi:type="dcterms:W3CDTF">2025-01-09T18:45:00Z</dcterms:created>
  <dcterms:modified xsi:type="dcterms:W3CDTF">2025-01-22T20:55:00Z</dcterms:modified>
</cp:coreProperties>
</file>