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0A311805">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75238BF6"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t>
      </w:r>
      <w:r w:rsidR="002E42A3">
        <w:rPr>
          <w:rFonts w:eastAsia="Times New Roman"/>
          <w:b/>
          <w:bCs/>
          <w:color w:val="000000" w:themeColor="text1"/>
          <w:sz w:val="24"/>
          <w:szCs w:val="24"/>
        </w:rPr>
        <w:t>Attorney Role</w:t>
      </w:r>
      <w:r>
        <w:rPr>
          <w:rFonts w:eastAsia="Times New Roman"/>
          <w:b/>
          <w:bCs/>
          <w:color w:val="000000" w:themeColor="text1"/>
          <w:sz w:val="24"/>
          <w:szCs w:val="24"/>
        </w:rPr>
        <w: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285D9F0" w14:textId="3F8B2B2A" w:rsidR="00CC0093" w:rsidRPr="00711F54" w:rsidRDefault="00711F54"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learn about the role of attorney in Teen Court.</w:t>
      </w:r>
    </w:p>
    <w:p w14:paraId="017839E5" w14:textId="2226AD3C" w:rsidR="00711F54" w:rsidRPr="0062561C" w:rsidRDefault="00711F54"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compare the role of defense attorney and prosecutor.</w:t>
      </w:r>
    </w:p>
    <w:p w14:paraId="2A9DFF6B" w14:textId="33FC1286" w:rsidR="00C239CA" w:rsidRPr="0062561C" w:rsidRDefault="00C239CA"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sidRPr="0062561C">
        <w:rPr>
          <w:rFonts w:eastAsia="Times New Roman"/>
          <w:color w:val="000000" w:themeColor="text1"/>
          <w:sz w:val="24"/>
          <w:szCs w:val="24"/>
        </w:rPr>
        <w:t>Practice working together to prepare for Teen Court.</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4CBE6E4F" w14:textId="5A9091DC" w:rsidR="00CC0093" w:rsidRPr="00CC0093" w:rsidRDefault="7AD22F5A"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P</w:t>
      </w:r>
      <w:r w:rsidR="03CBB717" w:rsidRPr="118074FC">
        <w:rPr>
          <w:rFonts w:eastAsia="Times New Roman"/>
          <w:color w:val="000000" w:themeColor="text1"/>
          <w:sz w:val="24"/>
          <w:szCs w:val="24"/>
        </w:rPr>
        <w:t>ens/markers</w:t>
      </w:r>
      <w:r w:rsidR="00193FB6">
        <w:rPr>
          <w:rFonts w:eastAsia="Times New Roman"/>
          <w:color w:val="000000" w:themeColor="text1"/>
          <w:sz w:val="24"/>
          <w:szCs w:val="24"/>
        </w:rPr>
        <w:t>,</w:t>
      </w:r>
      <w:r w:rsidR="4FCACB06" w:rsidRPr="118074FC">
        <w:rPr>
          <w:rFonts w:eastAsia="Times New Roman"/>
          <w:color w:val="000000" w:themeColor="text1"/>
          <w:sz w:val="24"/>
          <w:szCs w:val="24"/>
        </w:rPr>
        <w:t xml:space="preserve"> </w:t>
      </w:r>
      <w:r w:rsidR="00D66DE1">
        <w:rPr>
          <w:rFonts w:eastAsia="Times New Roman"/>
          <w:color w:val="000000" w:themeColor="text1"/>
          <w:sz w:val="24"/>
          <w:szCs w:val="24"/>
        </w:rPr>
        <w:t>1 per person</w:t>
      </w:r>
    </w:p>
    <w:p w14:paraId="409AB3E0" w14:textId="4F46BAC9" w:rsidR="00CC0093" w:rsidRPr="006936AF" w:rsidRDefault="23EC2E4D"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L</w:t>
      </w:r>
      <w:r w:rsidR="03CBB717" w:rsidRPr="118074FC">
        <w:rPr>
          <w:rFonts w:eastAsia="Times New Roman"/>
          <w:color w:val="000000" w:themeColor="text1"/>
          <w:sz w:val="24"/>
          <w:szCs w:val="24"/>
        </w:rPr>
        <w:t xml:space="preserve">arge </w:t>
      </w:r>
      <w:r w:rsidR="1F91370A" w:rsidRPr="118074FC">
        <w:rPr>
          <w:rFonts w:eastAsia="Times New Roman"/>
          <w:color w:val="000000" w:themeColor="text1"/>
          <w:sz w:val="24"/>
          <w:szCs w:val="24"/>
        </w:rPr>
        <w:t xml:space="preserve">poster </w:t>
      </w:r>
      <w:r w:rsidR="03CBB717" w:rsidRPr="118074FC">
        <w:rPr>
          <w:rFonts w:eastAsia="Times New Roman"/>
          <w:color w:val="000000" w:themeColor="text1"/>
          <w:sz w:val="24"/>
          <w:szCs w:val="24"/>
        </w:rPr>
        <w:t>paper</w:t>
      </w:r>
      <w:r w:rsidR="00193FB6">
        <w:rPr>
          <w:rFonts w:eastAsia="Times New Roman"/>
          <w:color w:val="000000" w:themeColor="text1"/>
          <w:sz w:val="24"/>
          <w:szCs w:val="24"/>
        </w:rPr>
        <w:t>,</w:t>
      </w:r>
      <w:r w:rsidR="1F439184" w:rsidRPr="118074FC">
        <w:rPr>
          <w:rFonts w:eastAsia="Times New Roman"/>
          <w:color w:val="000000" w:themeColor="text1"/>
          <w:sz w:val="24"/>
          <w:szCs w:val="24"/>
        </w:rPr>
        <w:t xml:space="preserve"> </w:t>
      </w:r>
      <w:r w:rsidR="00D66DE1">
        <w:rPr>
          <w:rFonts w:eastAsia="Times New Roman"/>
          <w:color w:val="000000" w:themeColor="text1"/>
          <w:sz w:val="24"/>
          <w:szCs w:val="24"/>
        </w:rPr>
        <w:t>1 per group</w:t>
      </w:r>
    </w:p>
    <w:p w14:paraId="6AD06034" w14:textId="6CB341B4" w:rsidR="00B544F9" w:rsidRPr="00B544F9" w:rsidRDefault="00B544F9" w:rsidP="00B544F9">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Aggravating and Mitigating Factors cards, 1 set per group</w:t>
      </w:r>
    </w:p>
    <w:p w14:paraId="51BC002F" w14:textId="16236F38" w:rsidR="00CC0093" w:rsidRPr="002E42A3" w:rsidRDefault="002E42A3" w:rsidP="002E42A3">
      <w:pPr>
        <w:pStyle w:val="ListParagraph"/>
        <w:numPr>
          <w:ilvl w:val="0"/>
          <w:numId w:val="4"/>
        </w:numPr>
        <w:spacing w:after="0" w:line="240" w:lineRule="auto"/>
        <w:contextualSpacing/>
        <w:rPr>
          <w:rFonts w:ascii="Times New Roman" w:eastAsia="Times New Roman" w:hAnsi="Times New Roman" w:cs="Times New Roman"/>
          <w:sz w:val="24"/>
          <w:szCs w:val="24"/>
        </w:rPr>
      </w:pPr>
      <w:r w:rsidRPr="002E42A3">
        <w:rPr>
          <w:rFonts w:eastAsia="Times New Roman"/>
          <w:color w:val="000000" w:themeColor="text1"/>
          <w:sz w:val="24"/>
          <w:szCs w:val="24"/>
        </w:rPr>
        <w:t>Questioning the Defendant handout</w:t>
      </w:r>
      <w:r w:rsidR="00193FB6">
        <w:rPr>
          <w:rFonts w:eastAsia="Times New Roman"/>
          <w:color w:val="000000" w:themeColor="text1"/>
          <w:sz w:val="24"/>
          <w:szCs w:val="24"/>
        </w:rPr>
        <w:t>,</w:t>
      </w:r>
      <w:r w:rsidR="00D66DE1">
        <w:rPr>
          <w:rFonts w:eastAsia="Times New Roman"/>
          <w:color w:val="000000" w:themeColor="text1"/>
          <w:sz w:val="24"/>
          <w:szCs w:val="24"/>
        </w:rPr>
        <w:t xml:space="preserve"> 1 per person</w:t>
      </w:r>
    </w:p>
    <w:p w14:paraId="2DA746F2" w14:textId="6EFF0C38" w:rsidR="002E42A3" w:rsidRPr="002E42A3" w:rsidRDefault="002E42A3" w:rsidP="002E42A3">
      <w:pPr>
        <w:pStyle w:val="ListParagraph"/>
        <w:numPr>
          <w:ilvl w:val="0"/>
          <w:numId w:val="4"/>
        </w:numPr>
        <w:spacing w:after="0" w:line="240" w:lineRule="auto"/>
        <w:contextualSpacing/>
        <w:rPr>
          <w:rFonts w:ascii="Times New Roman" w:eastAsia="Times New Roman" w:hAnsi="Times New Roman" w:cs="Times New Roman"/>
          <w:sz w:val="24"/>
          <w:szCs w:val="24"/>
        </w:rPr>
      </w:pPr>
      <w:r>
        <w:rPr>
          <w:rFonts w:eastAsia="Times New Roman"/>
          <w:color w:val="000000" w:themeColor="text1"/>
          <w:sz w:val="24"/>
          <w:szCs w:val="24"/>
        </w:rPr>
        <w:t>Teen Court Scenario #1</w:t>
      </w:r>
      <w:r w:rsidR="00193FB6">
        <w:rPr>
          <w:rFonts w:eastAsia="Times New Roman"/>
          <w:color w:val="000000" w:themeColor="text1"/>
          <w:sz w:val="24"/>
          <w:szCs w:val="24"/>
        </w:rPr>
        <w:t>,</w:t>
      </w:r>
      <w:r w:rsidR="00D66DE1">
        <w:rPr>
          <w:rFonts w:eastAsia="Times New Roman"/>
          <w:color w:val="000000" w:themeColor="text1"/>
          <w:sz w:val="24"/>
          <w:szCs w:val="24"/>
        </w:rPr>
        <w:t xml:space="preserve"> 1 per group</w:t>
      </w:r>
    </w:p>
    <w:p w14:paraId="6D6B4846" w14:textId="77777777" w:rsidR="002E42A3" w:rsidRPr="002E42A3" w:rsidRDefault="002E42A3" w:rsidP="002E42A3">
      <w:pPr>
        <w:pStyle w:val="ListParagraph"/>
        <w:spacing w:after="0" w:line="240" w:lineRule="auto"/>
        <w:contextualSpacing/>
        <w:rPr>
          <w:rFonts w:ascii="Times New Roman" w:eastAsia="Times New Roman" w:hAnsi="Times New Roman" w:cs="Times New Roman"/>
          <w:sz w:val="24"/>
          <w:szCs w:val="24"/>
        </w:rPr>
      </w:pPr>
    </w:p>
    <w:p w14:paraId="345FE716" w14:textId="5179CD1A"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Pr="118074FC">
        <w:rPr>
          <w:rFonts w:eastAsia="Times New Roman"/>
          <w:color w:val="000000" w:themeColor="text1"/>
          <w:sz w:val="24"/>
          <w:szCs w:val="24"/>
        </w:rPr>
        <w:t>4</w:t>
      </w:r>
      <w:r w:rsidR="00070600">
        <w:rPr>
          <w:rFonts w:eastAsia="Times New Roman"/>
          <w:color w:val="000000" w:themeColor="text1"/>
          <w:sz w:val="24"/>
          <w:szCs w:val="24"/>
        </w:rPr>
        <w:t>5</w:t>
      </w:r>
      <w:r w:rsidRPr="118074FC">
        <w:rPr>
          <w:rFonts w:eastAsia="Times New Roman"/>
          <w:color w:val="000000" w:themeColor="text1"/>
          <w:sz w:val="24"/>
          <w:szCs w:val="24"/>
        </w:rPr>
        <w:t xml:space="preserve">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7C76B71A" w14:textId="721278DA" w:rsidR="00524964" w:rsidRPr="006936AF" w:rsidRDefault="00524964" w:rsidP="00524964">
      <w:pPr>
        <w:pStyle w:val="NormalWeb"/>
        <w:numPr>
          <w:ilvl w:val="0"/>
          <w:numId w:val="13"/>
        </w:numPr>
        <w:spacing w:after="0"/>
        <w:rPr>
          <w:rFonts w:ascii="Calibri" w:hAnsi="Calibri" w:cs="Calibri"/>
          <w:color w:val="000000" w:themeColor="text1"/>
        </w:rPr>
      </w:pPr>
      <w:r>
        <w:rPr>
          <w:rFonts w:ascii="Calibri" w:hAnsi="Calibri" w:cs="Calibri"/>
          <w:color w:val="000000" w:themeColor="text1"/>
        </w:rPr>
        <w:t>Divide students into groups of 3-4.</w:t>
      </w:r>
    </w:p>
    <w:p w14:paraId="38E45240" w14:textId="5AC07F8C" w:rsidR="002E42A3" w:rsidRDefault="002E42A3" w:rsidP="009B5497">
      <w:pPr>
        <w:pStyle w:val="NormalWeb"/>
        <w:numPr>
          <w:ilvl w:val="0"/>
          <w:numId w:val="13"/>
        </w:numPr>
        <w:spacing w:after="0"/>
        <w:rPr>
          <w:rFonts w:ascii="Calibri" w:hAnsi="Calibri" w:cs="Calibri"/>
          <w:color w:val="000000" w:themeColor="text1"/>
        </w:rPr>
      </w:pPr>
      <w:r w:rsidRPr="002E42A3">
        <w:rPr>
          <w:rFonts w:ascii="Calibri" w:hAnsi="Calibri" w:cs="Calibri"/>
          <w:color w:val="000000" w:themeColor="text1"/>
        </w:rPr>
        <w:t xml:space="preserve">Explain that the attorneys are responsible for asking the defendant questions in court. The defense attorney wants to highlight mitigating factors that may cause the defendant to receive a lighter consequence, while the prosecutor wants to highlight aggravating factors that may cause the defendant to receive a heavier consequence. </w:t>
      </w:r>
    </w:p>
    <w:p w14:paraId="498FDD00" w14:textId="04B126C8" w:rsidR="00524964" w:rsidRPr="006936AF" w:rsidRDefault="00524964" w:rsidP="009B5497">
      <w:pPr>
        <w:pStyle w:val="NormalWeb"/>
        <w:numPr>
          <w:ilvl w:val="0"/>
          <w:numId w:val="13"/>
        </w:numPr>
        <w:spacing w:after="0"/>
        <w:rPr>
          <w:rFonts w:asciiTheme="minorHAnsi" w:hAnsiTheme="minorHAnsi" w:cstheme="minorHAnsi"/>
          <w:color w:val="000000" w:themeColor="text1"/>
        </w:rPr>
      </w:pPr>
      <w:r w:rsidRPr="006936AF">
        <w:rPr>
          <w:rFonts w:asciiTheme="minorHAnsi" w:hAnsiTheme="minorHAnsi" w:cstheme="minorHAnsi"/>
          <w:color w:val="000000" w:themeColor="text1"/>
        </w:rPr>
        <w:t xml:space="preserve">Distribute a set of </w:t>
      </w:r>
      <w:r w:rsidRPr="006936AF">
        <w:rPr>
          <w:rFonts w:asciiTheme="minorHAnsi" w:hAnsiTheme="minorHAnsi" w:cstheme="minorHAnsi"/>
          <w:b/>
          <w:bCs/>
          <w:color w:val="000000" w:themeColor="text1"/>
        </w:rPr>
        <w:t>Aggravating and Mitigating Factors cards</w:t>
      </w:r>
      <w:r w:rsidRPr="006936AF">
        <w:rPr>
          <w:rFonts w:asciiTheme="minorHAnsi" w:hAnsiTheme="minorHAnsi" w:cstheme="minorHAnsi"/>
          <w:color w:val="000000" w:themeColor="text1"/>
        </w:rPr>
        <w:t xml:space="preserve"> to each group.</w:t>
      </w:r>
    </w:p>
    <w:p w14:paraId="76A9D791" w14:textId="568DDD03" w:rsidR="00524964" w:rsidRDefault="00524964" w:rsidP="009B5497">
      <w:pPr>
        <w:pStyle w:val="NormalWeb"/>
        <w:numPr>
          <w:ilvl w:val="0"/>
          <w:numId w:val="13"/>
        </w:numPr>
        <w:spacing w:after="0"/>
        <w:rPr>
          <w:rFonts w:ascii="Calibri" w:hAnsi="Calibri" w:cs="Calibri"/>
          <w:color w:val="000000" w:themeColor="text1"/>
        </w:rPr>
      </w:pPr>
      <w:r w:rsidRPr="006936AF">
        <w:rPr>
          <w:rFonts w:asciiTheme="minorHAnsi" w:hAnsiTheme="minorHAnsi" w:cstheme="minorHAnsi"/>
          <w:color w:val="000000" w:themeColor="text1"/>
        </w:rPr>
        <w:t>Have groups work tog</w:t>
      </w:r>
      <w:r>
        <w:rPr>
          <w:rFonts w:ascii="Calibri" w:hAnsi="Calibri" w:cs="Calibri"/>
          <w:color w:val="000000" w:themeColor="text1"/>
        </w:rPr>
        <w:t>ether to sort the factors into two piles: aggravating and mitigating.</w:t>
      </w:r>
    </w:p>
    <w:p w14:paraId="77D5A85E" w14:textId="071B91A7" w:rsidR="00524964" w:rsidRDefault="00524964" w:rsidP="009B5497">
      <w:pPr>
        <w:pStyle w:val="NormalWeb"/>
        <w:numPr>
          <w:ilvl w:val="0"/>
          <w:numId w:val="13"/>
        </w:numPr>
        <w:spacing w:after="0"/>
        <w:rPr>
          <w:rFonts w:ascii="Calibri" w:hAnsi="Calibri" w:cs="Calibri"/>
          <w:color w:val="000000" w:themeColor="text1"/>
        </w:rPr>
      </w:pPr>
      <w:r>
        <w:rPr>
          <w:rFonts w:ascii="Calibri" w:hAnsi="Calibri" w:cs="Calibri"/>
          <w:color w:val="000000" w:themeColor="text1"/>
        </w:rPr>
        <w:t>Review by calling on a few groups to share their aggravating and mitigating factors. Correct and elaborate as needed.</w:t>
      </w:r>
    </w:p>
    <w:p w14:paraId="0C5B2DD3" w14:textId="77777777" w:rsidR="002E42A3" w:rsidRDefault="002E42A3" w:rsidP="009B5497">
      <w:pPr>
        <w:pStyle w:val="NormalWeb"/>
        <w:numPr>
          <w:ilvl w:val="0"/>
          <w:numId w:val="13"/>
        </w:numPr>
        <w:spacing w:after="0"/>
        <w:rPr>
          <w:rFonts w:ascii="Calibri" w:hAnsi="Calibri" w:cs="Calibri"/>
          <w:color w:val="000000" w:themeColor="text1"/>
        </w:rPr>
      </w:pPr>
      <w:r w:rsidRPr="002E42A3">
        <w:rPr>
          <w:rFonts w:ascii="Calibri" w:hAnsi="Calibri" w:cs="Calibri"/>
          <w:color w:val="000000" w:themeColor="text1"/>
        </w:rPr>
        <w:t xml:space="preserve">Distribute the </w:t>
      </w:r>
      <w:r w:rsidRPr="00CD5376">
        <w:rPr>
          <w:rFonts w:ascii="Calibri" w:hAnsi="Calibri" w:cs="Calibri"/>
          <w:b/>
          <w:bCs/>
          <w:color w:val="000000" w:themeColor="text1"/>
        </w:rPr>
        <w:t>Questioning the Defendant handout</w:t>
      </w:r>
      <w:r>
        <w:rPr>
          <w:rFonts w:ascii="Calibri" w:hAnsi="Calibri" w:cs="Calibri"/>
          <w:color w:val="000000" w:themeColor="text1"/>
        </w:rPr>
        <w:t xml:space="preserve"> and </w:t>
      </w:r>
      <w:r w:rsidRPr="00CD5376">
        <w:rPr>
          <w:rFonts w:ascii="Calibri" w:hAnsi="Calibri" w:cs="Calibri"/>
          <w:b/>
          <w:bCs/>
          <w:color w:val="000000" w:themeColor="text1"/>
        </w:rPr>
        <w:t>Teen Court Scenario #1</w:t>
      </w:r>
      <w:r w:rsidRPr="002E42A3">
        <w:rPr>
          <w:rFonts w:ascii="Calibri" w:hAnsi="Calibri" w:cs="Calibri"/>
          <w:color w:val="000000" w:themeColor="text1"/>
        </w:rPr>
        <w:t xml:space="preserve">. </w:t>
      </w:r>
    </w:p>
    <w:p w14:paraId="2A3430D3" w14:textId="0098F17B" w:rsidR="002E42A3" w:rsidRPr="002E42A3" w:rsidRDefault="002E42A3" w:rsidP="009B5497">
      <w:pPr>
        <w:pStyle w:val="NormalWeb"/>
        <w:numPr>
          <w:ilvl w:val="0"/>
          <w:numId w:val="13"/>
        </w:numPr>
        <w:spacing w:after="0"/>
        <w:rPr>
          <w:rFonts w:ascii="Calibri" w:hAnsi="Calibri" w:cs="Calibri"/>
          <w:color w:val="000000" w:themeColor="text1"/>
        </w:rPr>
      </w:pPr>
      <w:r w:rsidRPr="002E42A3">
        <w:rPr>
          <w:rFonts w:ascii="Calibri" w:hAnsi="Calibri" w:cs="Calibri"/>
          <w:color w:val="000000" w:themeColor="text1"/>
        </w:rPr>
        <w:t>Explain the difference between open-ended question</w:t>
      </w:r>
      <w:r w:rsidR="00377047">
        <w:rPr>
          <w:rFonts w:ascii="Calibri" w:hAnsi="Calibri" w:cs="Calibri"/>
          <w:color w:val="000000" w:themeColor="text1"/>
        </w:rPr>
        <w:t>s</w:t>
      </w:r>
      <w:r w:rsidRPr="002E42A3">
        <w:rPr>
          <w:rFonts w:ascii="Calibri" w:hAnsi="Calibri" w:cs="Calibri"/>
          <w:color w:val="000000" w:themeColor="text1"/>
        </w:rPr>
        <w:t xml:space="preserve"> and closed question</w:t>
      </w:r>
      <w:r w:rsidR="00377047">
        <w:rPr>
          <w:rFonts w:ascii="Calibri" w:hAnsi="Calibri" w:cs="Calibri"/>
          <w:color w:val="000000" w:themeColor="text1"/>
        </w:rPr>
        <w:t xml:space="preserve">s: </w:t>
      </w:r>
      <w:r w:rsidR="00377047" w:rsidRPr="00377047">
        <w:rPr>
          <w:rFonts w:ascii="Calibri" w:hAnsi="Calibri" w:cs="Calibri"/>
          <w:color w:val="000000" w:themeColor="text1"/>
        </w:rPr>
        <w:t>Open-ended questions encourage detailed, expressive responses and cannot be answered with a simple "yes" or "no</w:t>
      </w:r>
      <w:r w:rsidR="00377047">
        <w:rPr>
          <w:rFonts w:ascii="Calibri" w:hAnsi="Calibri" w:cs="Calibri"/>
          <w:color w:val="000000" w:themeColor="text1"/>
        </w:rPr>
        <w:t xml:space="preserve">.” Closed questions are meant to encourage short, specific answers such as “yes” or “no” or short </w:t>
      </w:r>
      <w:proofErr w:type="gramStart"/>
      <w:r w:rsidR="00377047">
        <w:rPr>
          <w:rFonts w:ascii="Calibri" w:hAnsi="Calibri" w:cs="Calibri"/>
          <w:color w:val="000000" w:themeColor="text1"/>
        </w:rPr>
        <w:t>factual information</w:t>
      </w:r>
      <w:proofErr w:type="gramEnd"/>
      <w:r w:rsidR="00377047">
        <w:rPr>
          <w:rFonts w:ascii="Calibri" w:hAnsi="Calibri" w:cs="Calibri"/>
          <w:color w:val="000000" w:themeColor="text1"/>
        </w:rPr>
        <w:t>.</w:t>
      </w:r>
      <w:r w:rsidRPr="002E42A3">
        <w:rPr>
          <w:rFonts w:ascii="Calibri" w:hAnsi="Calibri" w:cs="Calibri"/>
          <w:color w:val="000000" w:themeColor="text1"/>
        </w:rPr>
        <w:t xml:space="preserve"> Explain that open</w:t>
      </w:r>
      <w:r>
        <w:rPr>
          <w:rFonts w:ascii="Calibri" w:hAnsi="Calibri" w:cs="Calibri"/>
          <w:color w:val="000000" w:themeColor="text1"/>
        </w:rPr>
        <w:t>-</w:t>
      </w:r>
      <w:r w:rsidRPr="002E42A3">
        <w:rPr>
          <w:rFonts w:ascii="Calibri" w:hAnsi="Calibri" w:cs="Calibri"/>
          <w:color w:val="000000" w:themeColor="text1"/>
        </w:rPr>
        <w:t>ended questions often favor the defendant, but not always.</w:t>
      </w:r>
    </w:p>
    <w:p w14:paraId="2F41E4BF" w14:textId="0342587F" w:rsidR="002E42A3" w:rsidRPr="002E42A3" w:rsidRDefault="002E42A3" w:rsidP="009B5497">
      <w:pPr>
        <w:pStyle w:val="NormalWeb"/>
        <w:numPr>
          <w:ilvl w:val="0"/>
          <w:numId w:val="13"/>
        </w:numPr>
        <w:spacing w:after="0"/>
        <w:rPr>
          <w:rFonts w:ascii="Calibri" w:hAnsi="Calibri" w:cs="Calibri"/>
          <w:color w:val="000000" w:themeColor="text1"/>
        </w:rPr>
      </w:pPr>
      <w:r w:rsidRPr="002E42A3">
        <w:rPr>
          <w:rFonts w:ascii="Calibri" w:hAnsi="Calibri" w:cs="Calibri"/>
          <w:color w:val="000000" w:themeColor="text1"/>
        </w:rPr>
        <w:t xml:space="preserve">Assign </w:t>
      </w:r>
      <w:r>
        <w:rPr>
          <w:rFonts w:ascii="Calibri" w:hAnsi="Calibri" w:cs="Calibri"/>
          <w:color w:val="000000" w:themeColor="text1"/>
        </w:rPr>
        <w:t>half of the</w:t>
      </w:r>
      <w:r w:rsidRPr="002E42A3">
        <w:rPr>
          <w:rFonts w:ascii="Calibri" w:hAnsi="Calibri" w:cs="Calibri"/>
          <w:color w:val="000000" w:themeColor="text1"/>
        </w:rPr>
        <w:t xml:space="preserve"> groups to be defense attorneys and </w:t>
      </w:r>
      <w:r>
        <w:rPr>
          <w:rFonts w:ascii="Calibri" w:hAnsi="Calibri" w:cs="Calibri"/>
          <w:color w:val="000000" w:themeColor="text1"/>
        </w:rPr>
        <w:t>the other half t</w:t>
      </w:r>
      <w:r w:rsidRPr="002E42A3">
        <w:rPr>
          <w:rFonts w:ascii="Calibri" w:hAnsi="Calibri" w:cs="Calibri"/>
          <w:color w:val="000000" w:themeColor="text1"/>
        </w:rPr>
        <w:t xml:space="preserve">o be prosecutors. Both sides will select </w:t>
      </w:r>
      <w:r w:rsidR="00377047">
        <w:rPr>
          <w:rFonts w:ascii="Calibri" w:hAnsi="Calibri" w:cs="Calibri"/>
          <w:color w:val="000000" w:themeColor="text1"/>
        </w:rPr>
        <w:t>5</w:t>
      </w:r>
      <w:r w:rsidRPr="002E42A3">
        <w:rPr>
          <w:rFonts w:ascii="Calibri" w:hAnsi="Calibri" w:cs="Calibri"/>
          <w:color w:val="000000" w:themeColor="text1"/>
        </w:rPr>
        <w:t xml:space="preserve"> questions from the </w:t>
      </w:r>
      <w:r w:rsidR="00377047">
        <w:rPr>
          <w:rFonts w:ascii="Calibri" w:hAnsi="Calibri" w:cs="Calibri"/>
          <w:color w:val="000000" w:themeColor="text1"/>
        </w:rPr>
        <w:t xml:space="preserve">Questioning the Defendant </w:t>
      </w:r>
      <w:r w:rsidRPr="002E42A3">
        <w:rPr>
          <w:rFonts w:ascii="Calibri" w:hAnsi="Calibri" w:cs="Calibri"/>
          <w:color w:val="000000" w:themeColor="text1"/>
        </w:rPr>
        <w:t xml:space="preserve">handout that they believe would best help their side and write them on </w:t>
      </w:r>
      <w:r>
        <w:rPr>
          <w:rFonts w:ascii="Calibri" w:hAnsi="Calibri" w:cs="Calibri"/>
          <w:color w:val="000000" w:themeColor="text1"/>
        </w:rPr>
        <w:t>poster</w:t>
      </w:r>
      <w:r w:rsidRPr="002E42A3">
        <w:rPr>
          <w:rFonts w:ascii="Calibri" w:hAnsi="Calibri" w:cs="Calibri"/>
          <w:color w:val="000000" w:themeColor="text1"/>
        </w:rPr>
        <w:t xml:space="preserve"> paper.</w:t>
      </w:r>
    </w:p>
    <w:p w14:paraId="0DF141EA" w14:textId="35605D24" w:rsidR="002E42A3" w:rsidRPr="002E42A3" w:rsidRDefault="002E42A3" w:rsidP="009B5497">
      <w:pPr>
        <w:pStyle w:val="NormalWeb"/>
        <w:numPr>
          <w:ilvl w:val="0"/>
          <w:numId w:val="13"/>
        </w:numPr>
        <w:spacing w:after="0"/>
        <w:rPr>
          <w:rFonts w:ascii="Calibri" w:hAnsi="Calibri" w:cs="Calibri"/>
          <w:color w:val="000000" w:themeColor="text1"/>
        </w:rPr>
      </w:pPr>
      <w:r w:rsidRPr="002E42A3">
        <w:rPr>
          <w:rFonts w:ascii="Calibri" w:hAnsi="Calibri" w:cs="Calibri"/>
          <w:color w:val="000000" w:themeColor="text1"/>
        </w:rPr>
        <w:lastRenderedPageBreak/>
        <w:t xml:space="preserve">After giving </w:t>
      </w:r>
      <w:r>
        <w:rPr>
          <w:rFonts w:ascii="Calibri" w:hAnsi="Calibri" w:cs="Calibri"/>
          <w:color w:val="000000" w:themeColor="text1"/>
        </w:rPr>
        <w:t>students</w:t>
      </w:r>
      <w:r w:rsidRPr="002E42A3">
        <w:rPr>
          <w:rFonts w:ascii="Calibri" w:hAnsi="Calibri" w:cs="Calibri"/>
          <w:color w:val="000000" w:themeColor="text1"/>
        </w:rPr>
        <w:t xml:space="preserve"> enough time to select questions</w:t>
      </w:r>
      <w:r>
        <w:rPr>
          <w:rFonts w:ascii="Calibri" w:hAnsi="Calibri" w:cs="Calibri"/>
          <w:color w:val="000000" w:themeColor="text1"/>
        </w:rPr>
        <w:t xml:space="preserve"> from the handout</w:t>
      </w:r>
      <w:r w:rsidRPr="002E42A3">
        <w:rPr>
          <w:rFonts w:ascii="Calibri" w:hAnsi="Calibri" w:cs="Calibri"/>
          <w:color w:val="000000" w:themeColor="text1"/>
        </w:rPr>
        <w:t xml:space="preserve">, ask them to come up with </w:t>
      </w:r>
      <w:r w:rsidR="00377047">
        <w:rPr>
          <w:rFonts w:ascii="Calibri" w:hAnsi="Calibri" w:cs="Calibri"/>
          <w:color w:val="000000" w:themeColor="text1"/>
        </w:rPr>
        <w:t>5</w:t>
      </w:r>
      <w:r w:rsidRPr="002E42A3">
        <w:rPr>
          <w:rFonts w:ascii="Calibri" w:hAnsi="Calibri" w:cs="Calibri"/>
          <w:color w:val="000000" w:themeColor="text1"/>
        </w:rPr>
        <w:t xml:space="preserve"> additional questions not found on the handout.</w:t>
      </w:r>
    </w:p>
    <w:p w14:paraId="7B7A6F44" w14:textId="0213EB60" w:rsidR="002E42A3" w:rsidRPr="002E42A3" w:rsidRDefault="002E42A3" w:rsidP="009B5497">
      <w:pPr>
        <w:pStyle w:val="NormalWeb"/>
        <w:numPr>
          <w:ilvl w:val="0"/>
          <w:numId w:val="13"/>
        </w:numPr>
        <w:spacing w:after="0"/>
        <w:rPr>
          <w:rFonts w:ascii="Calibri" w:hAnsi="Calibri" w:cs="Calibri"/>
          <w:color w:val="000000" w:themeColor="text1"/>
        </w:rPr>
      </w:pPr>
      <w:r>
        <w:rPr>
          <w:rFonts w:ascii="Calibri" w:hAnsi="Calibri" w:cs="Calibri"/>
          <w:color w:val="000000" w:themeColor="text1"/>
        </w:rPr>
        <w:t>Have a teacher</w:t>
      </w:r>
      <w:r w:rsidR="00377047">
        <w:rPr>
          <w:rFonts w:ascii="Calibri" w:hAnsi="Calibri" w:cs="Calibri"/>
          <w:color w:val="000000" w:themeColor="text1"/>
        </w:rPr>
        <w:t xml:space="preserve"> act</w:t>
      </w:r>
      <w:r>
        <w:rPr>
          <w:rFonts w:ascii="Calibri" w:hAnsi="Calibri" w:cs="Calibri"/>
          <w:color w:val="000000" w:themeColor="text1"/>
        </w:rPr>
        <w:t xml:space="preserve"> as the defendant. </w:t>
      </w:r>
      <w:r w:rsidRPr="002E42A3">
        <w:rPr>
          <w:rFonts w:ascii="Calibri" w:hAnsi="Calibri" w:cs="Calibri"/>
          <w:color w:val="000000" w:themeColor="text1"/>
        </w:rPr>
        <w:t xml:space="preserve">Each group will select a representative to </w:t>
      </w:r>
      <w:r w:rsidR="00F55CF1">
        <w:rPr>
          <w:rFonts w:ascii="Calibri" w:hAnsi="Calibri" w:cs="Calibri"/>
          <w:color w:val="000000" w:themeColor="text1"/>
        </w:rPr>
        <w:t xml:space="preserve">act as an attorney and </w:t>
      </w:r>
      <w:r w:rsidRPr="002E42A3">
        <w:rPr>
          <w:rFonts w:ascii="Calibri" w:hAnsi="Calibri" w:cs="Calibri"/>
          <w:color w:val="000000" w:themeColor="text1"/>
        </w:rPr>
        <w:t xml:space="preserve">question the defendant. </w:t>
      </w:r>
      <w:r w:rsidR="00377047">
        <w:rPr>
          <w:rFonts w:ascii="Calibri" w:hAnsi="Calibri" w:cs="Calibri"/>
          <w:color w:val="000000" w:themeColor="text1"/>
        </w:rPr>
        <w:t>Encourage students</w:t>
      </w:r>
      <w:r w:rsidRPr="002E42A3">
        <w:rPr>
          <w:rFonts w:ascii="Calibri" w:hAnsi="Calibri" w:cs="Calibri"/>
          <w:color w:val="000000" w:themeColor="text1"/>
        </w:rPr>
        <w:t xml:space="preserve"> to improvise follow-up questions as they go along. </w:t>
      </w:r>
    </w:p>
    <w:p w14:paraId="4FD59654" w14:textId="3AAC686B" w:rsidR="00377047" w:rsidRDefault="002E42A3" w:rsidP="009B5497">
      <w:pPr>
        <w:pStyle w:val="NormalWeb"/>
        <w:numPr>
          <w:ilvl w:val="0"/>
          <w:numId w:val="13"/>
        </w:numPr>
        <w:spacing w:before="0" w:beforeAutospacing="0" w:after="0" w:afterAutospacing="0"/>
        <w:rPr>
          <w:rFonts w:ascii="Calibri" w:hAnsi="Calibri" w:cs="Calibri"/>
          <w:color w:val="000000" w:themeColor="text1"/>
        </w:rPr>
      </w:pPr>
      <w:r w:rsidRPr="002E42A3">
        <w:rPr>
          <w:rFonts w:ascii="Calibri" w:hAnsi="Calibri" w:cs="Calibri"/>
          <w:color w:val="000000" w:themeColor="text1"/>
        </w:rPr>
        <w:t>Debrief the lesson by asking groups to discuss the role of the attorney and why it is important in teen court. Allow each group to share.</w:t>
      </w:r>
    </w:p>
    <w:p w14:paraId="1F37CC7C" w14:textId="256928DF" w:rsidR="3CB2530D" w:rsidRPr="00377047" w:rsidRDefault="00377047" w:rsidP="00377047">
      <w:pPr>
        <w:rPr>
          <w:rFonts w:eastAsia="Times New Roman"/>
          <w:color w:val="000000" w:themeColor="text1"/>
          <w:sz w:val="24"/>
          <w:szCs w:val="24"/>
        </w:rPr>
      </w:pPr>
      <w:r>
        <w:rPr>
          <w:color w:val="000000" w:themeColor="text1"/>
        </w:rPr>
        <w:br w:type="page"/>
      </w:r>
    </w:p>
    <w:p w14:paraId="15741C21" w14:textId="77777777" w:rsidR="00090A4D" w:rsidRDefault="00090A4D" w:rsidP="3CB2530D">
      <w:pPr>
        <w:pStyle w:val="NormalWeb"/>
        <w:pBdr>
          <w:bottom w:val="single" w:sz="4" w:space="2" w:color="000000"/>
        </w:pBdr>
        <w:spacing w:before="0" w:beforeAutospacing="0" w:after="0" w:afterAutospacing="0"/>
        <w:jc w:val="center"/>
      </w:pPr>
    </w:p>
    <w:p w14:paraId="38B7D4BA" w14:textId="4101CC5E" w:rsidR="004D726A" w:rsidRPr="004D726A" w:rsidRDefault="004D726A" w:rsidP="76631C85">
      <w:pPr>
        <w:pStyle w:val="NormalWeb"/>
        <w:pBdr>
          <w:bottom w:val="single" w:sz="4" w:space="2" w:color="000000"/>
        </w:pBdr>
        <w:spacing w:before="0" w:beforeAutospacing="0" w:after="0" w:afterAutospacing="0"/>
        <w:jc w:val="center"/>
      </w:pP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2A49A431"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t>
      </w:r>
      <w:r w:rsidR="002E42A3">
        <w:rPr>
          <w:rFonts w:eastAsia="Times New Roman"/>
          <w:b/>
          <w:bCs/>
          <w:color w:val="000000" w:themeColor="text1"/>
          <w:sz w:val="24"/>
          <w:szCs w:val="24"/>
        </w:rPr>
        <w:t>Attorney Role</w:t>
      </w:r>
      <w:r>
        <w:rPr>
          <w:rFonts w:eastAsia="Times New Roman"/>
          <w:b/>
          <w:bCs/>
          <w:color w:val="000000" w:themeColor="text1"/>
          <w:sz w:val="24"/>
          <w:szCs w:val="24"/>
        </w:rPr>
        <w:t>”</w:t>
      </w:r>
      <w:r w:rsidRPr="118074FC">
        <w:rPr>
          <w:rFonts w:eastAsia="Times New Roman"/>
          <w:b/>
          <w:bCs/>
          <w:color w:val="000000" w:themeColor="text1"/>
          <w:sz w:val="24"/>
          <w:szCs w:val="24"/>
        </w:rPr>
        <w:t xml:space="preserve"> Lesson Plan</w:t>
      </w:r>
    </w:p>
    <w:p w14:paraId="693471C5" w14:textId="77777777" w:rsidR="008A5B38" w:rsidRDefault="008A5B38" w:rsidP="0062561C">
      <w:pPr>
        <w:spacing w:after="0" w:line="240" w:lineRule="auto"/>
        <w:jc w:val="center"/>
        <w:rPr>
          <w:rFonts w:eastAsia="Times New Roman"/>
          <w:b/>
          <w:bCs/>
          <w:color w:val="000000" w:themeColor="text1"/>
          <w:sz w:val="24"/>
          <w:szCs w:val="24"/>
        </w:rPr>
      </w:pPr>
    </w:p>
    <w:p w14:paraId="16B70F3C" w14:textId="4B8D3EE0" w:rsidR="0062561C" w:rsidRPr="00CC0093" w:rsidRDefault="008A5B38" w:rsidP="0062561C">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 xml:space="preserve">Arizona State Standards </w:t>
      </w:r>
      <w:r w:rsidR="0062561C">
        <w:rPr>
          <w:rFonts w:eastAsia="Times New Roman"/>
          <w:b/>
          <w:bCs/>
          <w:color w:val="000000" w:themeColor="text1"/>
          <w:sz w:val="24"/>
          <w:szCs w:val="24"/>
        </w:rPr>
        <w:t>Correlations</w:t>
      </w: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5EF6AF0A" w14:textId="77777777" w:rsidR="00711F54" w:rsidRPr="004D726A" w:rsidRDefault="00711F54" w:rsidP="00711F54">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Social Studies</w:t>
      </w:r>
    </w:p>
    <w:p w14:paraId="5003546A" w14:textId="77777777" w:rsidR="00711F54" w:rsidRDefault="00711F54" w:rsidP="00711F54">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2ACA3EED"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2BDCCA76"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7.C4.4 Explain challenges people face and opportunities they create in addressing local, regional, and global problems at various times and places. Apply a range of deliberative and democratic procedures to make decisions and act in local, regional, and global communities.</w:t>
      </w:r>
    </w:p>
    <w:p w14:paraId="504FEBD4"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2517117D"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8.C2.2 Explain specific roles, rights and responsibilities of people in a society.</w:t>
      </w:r>
    </w:p>
    <w:p w14:paraId="0106AA5A" w14:textId="535F1375"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8.C4.3 Analyze the purpose, process, implementation, and consequences of decision making and public policies in multiple settings and at different levels including the national, state, local (county, city, school board), and tribal.</w:t>
      </w:r>
    </w:p>
    <w:p w14:paraId="21B921B5"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564EF252" w14:textId="017A63B9"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HS.C4.7 Apply a range of deliberative and democratic strategies and procedures to make decisions in the classroom, school, and out-of-school civic contexts.</w:t>
      </w:r>
    </w:p>
    <w:p w14:paraId="2DB31E43" w14:textId="77777777" w:rsidR="00711F54" w:rsidRDefault="00711F54" w:rsidP="00711F54">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4B9CCE73" w14:textId="77777777" w:rsidR="00711F54" w:rsidRPr="004D726A" w:rsidRDefault="00711F54" w:rsidP="00711F54">
      <w:pPr>
        <w:spacing w:after="240" w:line="240" w:lineRule="auto"/>
        <w:contextualSpacing/>
        <w:rPr>
          <w:rFonts w:ascii="Times New Roman" w:eastAsia="Times New Roman" w:hAnsi="Times New Roman" w:cs="Times New Roman"/>
          <w:sz w:val="24"/>
          <w:szCs w:val="24"/>
        </w:rPr>
      </w:pPr>
    </w:p>
    <w:p w14:paraId="59A8F103" w14:textId="77777777" w:rsidR="00711F54" w:rsidRPr="004D726A" w:rsidRDefault="00711F54" w:rsidP="00711F54">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4132D4C2"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5618FA0E"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6.SL.6 Adapt speech to a variety of contexts and tasks, demonstrating command of formal English when indicated or appropriate.</w:t>
      </w:r>
    </w:p>
    <w:p w14:paraId="173DD44A"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0BECEF8C"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7.SL.6 Adapt speech to a variety of contexts and tasks, demonstrating command of formal English when indicated or appropriate.</w:t>
      </w:r>
    </w:p>
    <w:p w14:paraId="1BAE75CC"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8.SL.1 Engage effectively in a range of collaborative discussions (one‐on‐one, in groups, and teacher‐led) with diverse partners on grade 8 topics, texts, and issues, building on others’ ideas and expressing their own clearly.</w:t>
      </w:r>
    </w:p>
    <w:p w14:paraId="3E22E43C" w14:textId="77777777" w:rsidR="00711F54" w:rsidRDefault="00711F54" w:rsidP="00711F54">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8.SL.6 Adapt speech to a variety of contexts and tasks, demonstrating command of formal English when indicated or appropriate. </w:t>
      </w:r>
    </w:p>
    <w:p w14:paraId="5B9AB30D" w14:textId="77777777" w:rsidR="00711F54" w:rsidRPr="00A474BA" w:rsidRDefault="00711F54" w:rsidP="00711F54">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0" w:name="_Int_8g2l0dYw"/>
      <w:proofErr w:type="gramStart"/>
      <w:r w:rsidRPr="20C3BA1B">
        <w:rPr>
          <w:rFonts w:eastAsia="Times New Roman"/>
          <w:color w:val="000000" w:themeColor="text1"/>
          <w:sz w:val="24"/>
          <w:szCs w:val="24"/>
        </w:rPr>
        <w:t>12.SL.</w:t>
      </w:r>
      <w:bookmarkEnd w:id="0"/>
      <w:proofErr w:type="gramEnd"/>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58D3F115" w14:textId="77777777" w:rsidR="00711F54" w:rsidRDefault="00711F54" w:rsidP="00711F54">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3 Evaluate a speaker’s point of view, reasoning, use of evidence, and use of rhetoric, identifying any fallacious reasoning or exaggerated or distorted evidence.</w:t>
      </w:r>
    </w:p>
    <w:p w14:paraId="5825F1DB" w14:textId="77777777" w:rsidR="00711F54" w:rsidRDefault="00711F54" w:rsidP="00711F54">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6 Adapt speech to a variety of contexts and tasks, demonstrating command of formal English when indicated or appropriate.</w:t>
      </w:r>
    </w:p>
    <w:p w14:paraId="42BC4D4E" w14:textId="77777777" w:rsidR="00711F54" w:rsidRDefault="00711F54" w:rsidP="00711F54">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1 Initiate and participate effectively in a range of collaborative discussions (one-on- one, in groups, and teacher-led) with diverse partners on grades 11–12 topics, texts, and issues, building on others’ ideas and expressing their own clearly and persuasively.</w:t>
      </w:r>
    </w:p>
    <w:p w14:paraId="4CEE6EA5" w14:textId="77777777" w:rsidR="00711F54" w:rsidRDefault="00711F54" w:rsidP="00711F54">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3 Evaluate a speaker’s point of view, reasoning, use of evidence, and use of rhetoric, assessing the stance, premises, links among ideas, word choice, points of emphasis, and tone used.</w:t>
      </w:r>
    </w:p>
    <w:p w14:paraId="0C276E2B" w14:textId="77777777" w:rsidR="00711F54" w:rsidRPr="00A11589" w:rsidRDefault="00711F54" w:rsidP="00711F54">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 xml:space="preserve">6 Adapt speech to a variety of contexts and tasks, demonstrating a command of formal English when indicated or appropriate. </w:t>
      </w:r>
    </w:p>
    <w:p w14:paraId="5FBA1BFF" w14:textId="77777777" w:rsidR="00711F54" w:rsidRPr="00D73645" w:rsidRDefault="00711F54" w:rsidP="00711F54"/>
    <w:p w14:paraId="14C60609" w14:textId="5CE0AACD" w:rsidR="00CC0093" w:rsidRPr="00CC0093" w:rsidRDefault="00CC0093" w:rsidP="004D726A">
      <w:pPr>
        <w:spacing w:after="240" w:line="240" w:lineRule="auto"/>
        <w:jc w:val="center"/>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F6FA9"/>
    <w:multiLevelType w:val="hybridMultilevel"/>
    <w:tmpl w:val="F4AE6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4"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5"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6"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062E5A"/>
    <w:multiLevelType w:val="hybridMultilevel"/>
    <w:tmpl w:val="D8B2B156"/>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8" w15:restartNumberingAfterBreak="0">
    <w:nsid w:val="50441538"/>
    <w:multiLevelType w:val="hybridMultilevel"/>
    <w:tmpl w:val="8B9C4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4C47C5"/>
    <w:multiLevelType w:val="hybridMultilevel"/>
    <w:tmpl w:val="4738C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2"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3"/>
  </w:num>
  <w:num w:numId="2" w16cid:durableId="1589583258">
    <w:abstractNumId w:val="11"/>
  </w:num>
  <w:num w:numId="3" w16cid:durableId="308563008">
    <w:abstractNumId w:val="4"/>
  </w:num>
  <w:num w:numId="4" w16cid:durableId="800421546">
    <w:abstractNumId w:val="7"/>
  </w:num>
  <w:num w:numId="5" w16cid:durableId="121270236">
    <w:abstractNumId w:val="5"/>
  </w:num>
  <w:num w:numId="6" w16cid:durableId="1780295881">
    <w:abstractNumId w:val="10"/>
  </w:num>
  <w:num w:numId="7" w16cid:durableId="1549604320">
    <w:abstractNumId w:val="12"/>
  </w:num>
  <w:num w:numId="8" w16cid:durableId="960765473">
    <w:abstractNumId w:val="2"/>
  </w:num>
  <w:num w:numId="9" w16cid:durableId="766385780">
    <w:abstractNumId w:val="0"/>
  </w:num>
  <w:num w:numId="10" w16cid:durableId="1231428627">
    <w:abstractNumId w:val="6"/>
  </w:num>
  <w:num w:numId="11" w16cid:durableId="868180204">
    <w:abstractNumId w:val="1"/>
  </w:num>
  <w:num w:numId="12" w16cid:durableId="1555695785">
    <w:abstractNumId w:val="9"/>
  </w:num>
  <w:num w:numId="13" w16cid:durableId="499196414">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600"/>
    <w:rsid w:val="00070887"/>
    <w:rsid w:val="00076070"/>
    <w:rsid w:val="00090A4D"/>
    <w:rsid w:val="000B6A5E"/>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93FB6"/>
    <w:rsid w:val="001C17BC"/>
    <w:rsid w:val="001C618B"/>
    <w:rsid w:val="001D3469"/>
    <w:rsid w:val="001D62B0"/>
    <w:rsid w:val="001E229C"/>
    <w:rsid w:val="001E7141"/>
    <w:rsid w:val="001E77E7"/>
    <w:rsid w:val="0020185B"/>
    <w:rsid w:val="002101F0"/>
    <w:rsid w:val="00211499"/>
    <w:rsid w:val="0021516E"/>
    <w:rsid w:val="00220137"/>
    <w:rsid w:val="002306C6"/>
    <w:rsid w:val="00235523"/>
    <w:rsid w:val="00241CB5"/>
    <w:rsid w:val="00245165"/>
    <w:rsid w:val="00255C05"/>
    <w:rsid w:val="002729C4"/>
    <w:rsid w:val="002755EC"/>
    <w:rsid w:val="0028514A"/>
    <w:rsid w:val="00292775"/>
    <w:rsid w:val="002D4083"/>
    <w:rsid w:val="002D4872"/>
    <w:rsid w:val="002E42A3"/>
    <w:rsid w:val="002F4EEF"/>
    <w:rsid w:val="00302A60"/>
    <w:rsid w:val="00311C9B"/>
    <w:rsid w:val="003234A4"/>
    <w:rsid w:val="00323851"/>
    <w:rsid w:val="00324F78"/>
    <w:rsid w:val="00333958"/>
    <w:rsid w:val="003363BD"/>
    <w:rsid w:val="0035565C"/>
    <w:rsid w:val="003566FD"/>
    <w:rsid w:val="00360794"/>
    <w:rsid w:val="00361ED5"/>
    <w:rsid w:val="0037099A"/>
    <w:rsid w:val="00377047"/>
    <w:rsid w:val="00381FB0"/>
    <w:rsid w:val="00393877"/>
    <w:rsid w:val="003B10B4"/>
    <w:rsid w:val="003C6258"/>
    <w:rsid w:val="003F50FF"/>
    <w:rsid w:val="00415F31"/>
    <w:rsid w:val="00422603"/>
    <w:rsid w:val="0043048B"/>
    <w:rsid w:val="004425FB"/>
    <w:rsid w:val="0045280E"/>
    <w:rsid w:val="00456FF8"/>
    <w:rsid w:val="0046638A"/>
    <w:rsid w:val="004757C8"/>
    <w:rsid w:val="004A2433"/>
    <w:rsid w:val="004C792E"/>
    <w:rsid w:val="004D6737"/>
    <w:rsid w:val="004D726A"/>
    <w:rsid w:val="004E22B5"/>
    <w:rsid w:val="004E3EED"/>
    <w:rsid w:val="004E52B3"/>
    <w:rsid w:val="004F27F7"/>
    <w:rsid w:val="005003C8"/>
    <w:rsid w:val="0051357C"/>
    <w:rsid w:val="00522BA5"/>
    <w:rsid w:val="00524964"/>
    <w:rsid w:val="00527165"/>
    <w:rsid w:val="00531BB7"/>
    <w:rsid w:val="005360AF"/>
    <w:rsid w:val="00544F89"/>
    <w:rsid w:val="00551DDB"/>
    <w:rsid w:val="00554740"/>
    <w:rsid w:val="00556587"/>
    <w:rsid w:val="00562EEF"/>
    <w:rsid w:val="005632B3"/>
    <w:rsid w:val="00567A2A"/>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36AF"/>
    <w:rsid w:val="00696590"/>
    <w:rsid w:val="006A68EC"/>
    <w:rsid w:val="006B3A18"/>
    <w:rsid w:val="006C15EE"/>
    <w:rsid w:val="006C35B9"/>
    <w:rsid w:val="006D3BA5"/>
    <w:rsid w:val="006E616F"/>
    <w:rsid w:val="006F6A43"/>
    <w:rsid w:val="006F7780"/>
    <w:rsid w:val="0070178B"/>
    <w:rsid w:val="00702CC8"/>
    <w:rsid w:val="00711F54"/>
    <w:rsid w:val="00723218"/>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A3D3B"/>
    <w:rsid w:val="008A5B38"/>
    <w:rsid w:val="008B5CEF"/>
    <w:rsid w:val="008C7FE2"/>
    <w:rsid w:val="008F2E7A"/>
    <w:rsid w:val="0090113D"/>
    <w:rsid w:val="009030D9"/>
    <w:rsid w:val="00922C10"/>
    <w:rsid w:val="00957FAB"/>
    <w:rsid w:val="00965262"/>
    <w:rsid w:val="009663FA"/>
    <w:rsid w:val="00966D32"/>
    <w:rsid w:val="00981F1C"/>
    <w:rsid w:val="00983B93"/>
    <w:rsid w:val="0099350A"/>
    <w:rsid w:val="009A114F"/>
    <w:rsid w:val="009B5497"/>
    <w:rsid w:val="009C109B"/>
    <w:rsid w:val="009C5AB3"/>
    <w:rsid w:val="009E297A"/>
    <w:rsid w:val="009E2CCC"/>
    <w:rsid w:val="009E499E"/>
    <w:rsid w:val="009F5C28"/>
    <w:rsid w:val="00A13F66"/>
    <w:rsid w:val="00A35B53"/>
    <w:rsid w:val="00A4BE75"/>
    <w:rsid w:val="00A543F8"/>
    <w:rsid w:val="00A57AB6"/>
    <w:rsid w:val="00A60ED2"/>
    <w:rsid w:val="00A749FB"/>
    <w:rsid w:val="00A93471"/>
    <w:rsid w:val="00AA1AB0"/>
    <w:rsid w:val="00AB2289"/>
    <w:rsid w:val="00AC222E"/>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544F9"/>
    <w:rsid w:val="00B7424C"/>
    <w:rsid w:val="00B76F71"/>
    <w:rsid w:val="00B82BF4"/>
    <w:rsid w:val="00B9279B"/>
    <w:rsid w:val="00BC260F"/>
    <w:rsid w:val="00BC5B48"/>
    <w:rsid w:val="00BD4545"/>
    <w:rsid w:val="00C04D49"/>
    <w:rsid w:val="00C0671B"/>
    <w:rsid w:val="00C16BB5"/>
    <w:rsid w:val="00C239CA"/>
    <w:rsid w:val="00C511C1"/>
    <w:rsid w:val="00C54F44"/>
    <w:rsid w:val="00C56E95"/>
    <w:rsid w:val="00C57261"/>
    <w:rsid w:val="00C6192A"/>
    <w:rsid w:val="00C736E3"/>
    <w:rsid w:val="00C81B63"/>
    <w:rsid w:val="00C82FBE"/>
    <w:rsid w:val="00C90B57"/>
    <w:rsid w:val="00C942AA"/>
    <w:rsid w:val="00CB5D12"/>
    <w:rsid w:val="00CB7D82"/>
    <w:rsid w:val="00CC0093"/>
    <w:rsid w:val="00CC0573"/>
    <w:rsid w:val="00CD06E8"/>
    <w:rsid w:val="00CD5376"/>
    <w:rsid w:val="00CE07CB"/>
    <w:rsid w:val="00D02A2E"/>
    <w:rsid w:val="00D17ECE"/>
    <w:rsid w:val="00D21206"/>
    <w:rsid w:val="00D3325B"/>
    <w:rsid w:val="00D42726"/>
    <w:rsid w:val="00D42FAE"/>
    <w:rsid w:val="00D519B2"/>
    <w:rsid w:val="00D567D0"/>
    <w:rsid w:val="00D57335"/>
    <w:rsid w:val="00D62F83"/>
    <w:rsid w:val="00D66DE1"/>
    <w:rsid w:val="00D81ABA"/>
    <w:rsid w:val="00D979C1"/>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55CE"/>
    <w:rsid w:val="00F404C5"/>
    <w:rsid w:val="00F4446B"/>
    <w:rsid w:val="00F55CF1"/>
    <w:rsid w:val="00F666AF"/>
    <w:rsid w:val="00F94856"/>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3.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4</Pages>
  <Words>1004</Words>
  <Characters>5727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82</cp:revision>
  <cp:lastPrinted>2019-09-05T21:00:00Z</cp:lastPrinted>
  <dcterms:created xsi:type="dcterms:W3CDTF">2023-03-31T21:40:00Z</dcterms:created>
  <dcterms:modified xsi:type="dcterms:W3CDTF">2025-07-16T17:29:00Z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